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2796B"/>
          <w:sz w:val="20"/>
        </w:rPr>
        <w:t>EFFORTLESS MATH · FREE RESOURCE</w:t>
      </w:r>
    </w:p>
    <w:p>
      <w:pPr>
        <w:spacing w:after="80"/>
      </w:pPr>
      <w:r>
        <w:rPr>
          <w:b/>
          <w:color w:val="0F3D5C"/>
          <w:sz w:val="52"/>
        </w:rPr>
        <w:t>Texas §113.26 Crosswalk</w:t>
      </w:r>
    </w:p>
    <w:p>
      <w:pPr>
        <w:spacing w:after="200"/>
      </w:pPr>
      <w:r>
        <w:rPr>
          <w:color w:val="5C6B73"/>
          <w:sz w:val="26"/>
        </w:rPr>
        <w:t>Applied Personal Financial Literacy · a complete semester course mapped to the standard</w:t>
      </w:r>
    </w:p>
    <w:p>
      <w:pPr>
        <w:spacing w:before="40" w:after="160"/>
        <w:pBdr>
          <w:bottom w:val="single" w:sz="8" w:space="1" w:color="C9D6DC"/>
        </w:pBdr>
      </w:pPr>
    </w:p>
    <w:p>
      <w:pPr>
        <w:spacing w:after="120"/>
      </w:pPr>
      <w:r>
        <w:rPr>
          <w:b w:val="0"/>
          <w:i w:val="0"/>
          <w:color w:val="1C262B"/>
          <w:sz w:val="22"/>
        </w:rPr>
        <w:t>This document maps every knowledge and skills statement in 19 TAC §113.26, Applied Personal Financial Literacy, to the unit and the lesson that teaches it. It is designed to be printed and handed to a department chair, an instructional coach or an administrator. It is free, and you may use it whether or not you ever buy anything.</w:t>
      </w:r>
    </w:p>
    <w:p>
      <w:pPr>
        <w:spacing w:before="240" w:after="80"/>
      </w:pPr>
      <w:r>
        <w:rPr>
          <w:rFonts w:ascii="Calibri" w:hAnsi="Calibri"/>
          <w:b/>
          <w:color w:val="0F3D5C"/>
          <w:sz w:val="26"/>
        </w:rPr>
        <w:t>About the standard</w:t>
      </w:r>
    </w:p>
    <w:tbl>
      <w:tblPr>
        <w:tblW w:type="auto" w:w="0"/>
        <w:jc w:val="left"/>
        <w:tblLook w:firstColumn="1" w:firstRow="1" w:lastColumn="0" w:lastRow="0" w:noHBand="0" w:noVBand="1" w:val="04A0"/>
      </w:tblPr>
      <w:tblGrid>
        <w:gridCol w:w="5112"/>
        <w:gridCol w:w="5112"/>
      </w:tblGrid>
      <w:tr>
        <w:tc>
          <w:tcPr>
            <w:tcW w:type="dxa" w:w="2160"/>
            <w:shd w:val="clear" w:fill="EAF2F4"/>
            <w:tcBorders>
              <w:top w:val="single" w:sz="6" w:color="C9D6DC"/>
              <w:left w:val="single" w:sz="6" w:color="C9D6DC"/>
              <w:bottom w:val="single" w:sz="6" w:color="C9D6DC"/>
              <w:right w:val="single" w:sz="6" w:color="C9D6DC"/>
            </w:tcBorders>
          </w:tcPr>
          <w:p>
            <w:pPr>
              <w:spacing w:after="20"/>
            </w:pPr>
            <w:r>
              <w:rPr>
                <w:b/>
                <w:color w:val="0F3D5C"/>
                <w:sz w:val="19"/>
              </w:rPr>
              <w:t>Item</w:t>
            </w:r>
          </w:p>
        </w:tc>
        <w:tc>
          <w:tcPr>
            <w:tcW w:type="dxa" w:w="8064"/>
            <w:shd w:val="clear" w:fill="EAF2F4"/>
            <w:tcBorders>
              <w:top w:val="single" w:sz="6" w:color="C9D6DC"/>
              <w:left w:val="single" w:sz="6" w:color="C9D6DC"/>
              <w:bottom w:val="single" w:sz="6" w:color="C9D6DC"/>
              <w:right w:val="single" w:sz="6" w:color="C9D6DC"/>
            </w:tcBorders>
          </w:tcPr>
          <w:p>
            <w:pPr>
              <w:spacing w:after="20"/>
            </w:pPr>
            <w:r>
              <w:rPr>
                <w:b/>
                <w:color w:val="0F3D5C"/>
                <w:sz w:val="19"/>
              </w:rPr>
              <w:t>Detail</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Rule</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19 TAC Chapter 113, Subchapter C, §113.26, Applied Personal Financial Literacy (One-Half Credit)</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Adopted</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State Board of Education, second reading and final adoption, 4 September 2026</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Authority</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TEC §§7.102(c)(4), 28.002(a) and (c), 28.025(a) and (b-24). §28.025(b-24) was added by HB 27, 89th Legislature, 2025.</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Applies to</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color w:val="1C262B"/>
                <w:sz w:val="19"/>
              </w:rPr>
              <w:t>Students who enter Grade 9 in the 2026-2027 school year and thereafter</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Requirement</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One-half credit in personal financial literacy in place of the one-half credit economics course. The third social studies credit may then be economics, world geography or world history.</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Classroom implementation</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color w:val="1C262B"/>
                <w:sz w:val="19"/>
              </w:rPr>
              <w:t>2027-2028 school year, per subsection (a) of the rule</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Still in effect</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§113.76, Personal Financial Literacy and Economics, adopted June 2022, remains the course for students who entered Grade 9 earlier</w:t>
            </w:r>
          </w:p>
        </w:tc>
      </w:tr>
    </w:tbl>
    <w:p>
      <w:pPr>
        <w:spacing w:after="40"/>
      </w:pPr>
    </w:p>
    <w:tbl>
      <w:tblPr>
        <w:tblW w:type="auto" w:w="0"/>
        <w:jc w:val="left"/>
        <w:tblLook w:firstColumn="1" w:firstRow="1" w:lastColumn="0" w:lastRow="0" w:noHBand="0" w:noVBand="1" w:val="04A0"/>
      </w:tblPr>
      <w:tblGrid>
        <w:gridCol w:w="10224"/>
      </w:tblGrid>
      <w:tr>
        <w:tc>
          <w:tcPr>
            <w:tcW w:type="dxa" w:w="10224"/>
            <w:shd w:val="clear" w:fill="F0E3CC"/>
            <w:tcBorders>
              <w:top w:val="single" w:sz="6" w:color="C9D6DC"/>
              <w:left w:val="single" w:sz="6" w:color="C9D6DC"/>
              <w:bottom w:val="single" w:sz="6" w:color="C9D6DC"/>
              <w:right w:val="single" w:sz="6" w:color="C9D6DC"/>
            </w:tcBorders>
          </w:tcPr>
          <w:p>
            <w:pPr>
              <w:spacing w:after="60"/>
            </w:pPr>
            <w:r/>
            <w:r>
              <w:rPr>
                <w:b/>
                <w:color w:val="0F3D5C"/>
                <w:sz w:val="21"/>
              </w:rPr>
              <w:t>Please read this before you rely on the citation numbers</w:t>
            </w:r>
          </w:p>
          <w:p>
            <w:pPr>
              <w:spacing w:after="40"/>
            </w:pPr>
            <w:r>
              <w:rPr>
                <w:color w:val="1C262B"/>
                <w:sz w:val="21"/>
              </w:rPr>
              <w:t>The substance below is taken from §113.26 as published in the Texas Register in July 2026, the version carried into second reading and final adoption.</w:t>
            </w:r>
          </w:p>
          <w:p>
            <w:pPr>
              <w:spacing w:after="40"/>
            </w:pPr>
            <w:r>
              <w:rPr>
                <w:color w:val="1C262B"/>
                <w:sz w:val="21"/>
              </w:rPr>
              <w:t>The Committee of the Full Board approved amendments that may renumber the knowledge and skills statements, and the adopted rule had not appeared in the Texas Register as of 19 September 2026.</w:t>
            </w:r>
          </w:p>
          <w:p>
            <w:pPr>
              <w:spacing w:after="40"/>
            </w:pPr>
            <w:r>
              <w:rPr>
                <w:color w:val="1C262B"/>
                <w:sz w:val="21"/>
              </w:rPr>
              <w:t>The statement titles and the substance of each expectation are stable. The (d)(n)(X) numbers are provisional. Verify against the adopted rule before relying on exact citations in a formal audit or an adoption review.</w:t>
            </w:r>
          </w:p>
          <w:p>
            <w:pPr>
              <w:spacing w:after="40"/>
            </w:pPr>
            <w:r>
              <w:rPr>
                <w:color w:val="1C262B"/>
                <w:sz w:val="21"/>
              </w:rPr>
              <w:t>This page will be revised and re-uploaded free of charge when the adopted rule publishes. If you have downloaded it, you will be notified.</w:t>
            </w:r>
          </w:p>
        </w:tc>
      </w:tr>
    </w:tbl>
    <w:p>
      <w:pPr>
        <w:spacing w:after="40"/>
      </w:pPr>
    </w:p>
    <w:p>
      <w:r>
        <w:br w:type="page"/>
      </w:r>
    </w:p>
    <w:p>
      <w:pPr>
        <w:spacing w:before="0" w:after="80"/>
      </w:pPr>
      <w:r>
        <w:rPr>
          <w:rFonts w:ascii="Calibri" w:hAnsi="Calibri"/>
          <w:b/>
          <w:color w:val="0F3D5C"/>
          <w:sz w:val="26"/>
        </w:rPr>
        <w:t>The ten knowledge and skills statements, and where each one is taught</w:t>
      </w:r>
    </w:p>
    <w:tbl>
      <w:tblPr>
        <w:tblW w:type="auto" w:w="0"/>
        <w:jc w:val="left"/>
        <w:tblLook w:firstColumn="1" w:firstRow="1" w:lastColumn="0" w:lastRow="0" w:noHBand="0" w:noVBand="1" w:val="04A0"/>
      </w:tblPr>
      <w:tblGrid>
        <w:gridCol w:w="3408"/>
        <w:gridCol w:w="3408"/>
        <w:gridCol w:w="3408"/>
      </w:tblGrid>
      <w:tr>
        <w:tc>
          <w:tcPr>
            <w:tcW w:type="dxa" w:w="1440"/>
            <w:shd w:val="clear" w:fill="EAF2F4"/>
            <w:tcBorders>
              <w:top w:val="single" w:sz="6" w:color="C9D6DC"/>
              <w:left w:val="single" w:sz="6" w:color="C9D6DC"/>
              <w:bottom w:val="single" w:sz="6" w:color="C9D6DC"/>
              <w:right w:val="single" w:sz="6" w:color="C9D6DC"/>
            </w:tcBorders>
          </w:tcPr>
          <w:p>
            <w:pPr>
              <w:spacing w:after="20"/>
            </w:pPr>
            <w:r>
              <w:rPr>
                <w:b/>
                <w:color w:val="0F3D5C"/>
                <w:sz w:val="20"/>
              </w:rPr>
              <w:t>Statement</w:t>
            </w:r>
          </w:p>
        </w:tc>
        <w:tc>
          <w:tcPr>
            <w:tcW w:type="dxa" w:w="6048"/>
            <w:shd w:val="clear" w:fill="EAF2F4"/>
            <w:tcBorders>
              <w:top w:val="single" w:sz="6" w:color="C9D6DC"/>
              <w:left w:val="single" w:sz="6" w:color="C9D6DC"/>
              <w:bottom w:val="single" w:sz="6" w:color="C9D6DC"/>
              <w:right w:val="single" w:sz="6" w:color="C9D6DC"/>
            </w:tcBorders>
          </w:tcPr>
          <w:p>
            <w:pPr>
              <w:spacing w:after="20"/>
            </w:pPr>
            <w:r>
              <w:rPr>
                <w:b/>
                <w:color w:val="0F3D5C"/>
                <w:sz w:val="20"/>
              </w:rPr>
              <w:t>Title</w:t>
            </w:r>
          </w:p>
        </w:tc>
        <w:tc>
          <w:tcPr>
            <w:tcW w:type="dxa" w:w="2736"/>
            <w:shd w:val="clear" w:fill="EAF2F4"/>
            <w:tcBorders>
              <w:top w:val="single" w:sz="6" w:color="C9D6DC"/>
              <w:left w:val="single" w:sz="6" w:color="C9D6DC"/>
              <w:bottom w:val="single" w:sz="6" w:color="C9D6DC"/>
              <w:right w:val="single" w:sz="6" w:color="C9D6DC"/>
            </w:tcBorders>
          </w:tcPr>
          <w:p>
            <w:pPr>
              <w:spacing w:after="20"/>
            </w:pPr>
            <w:r>
              <w:rPr>
                <w:b/>
                <w:color w:val="0F3D5C"/>
                <w:sz w:val="20"/>
              </w:rPr>
              <w:t>Taught in</w:t>
            </w:r>
          </w:p>
        </w:tc>
      </w:tr>
      <w:tr>
        <w:tc>
          <w:tcPr>
            <w:tcW w:type="dxa" w:w="1440"/>
            <w:tcBorders>
              <w:top w:val="single" w:sz="6" w:color="C9D6DC"/>
              <w:left w:val="single" w:sz="6" w:color="C9D6DC"/>
              <w:bottom w:val="single" w:sz="6" w:color="C9D6DC"/>
              <w:right w:val="single" w:sz="6" w:color="C9D6DC"/>
            </w:tcBorders>
          </w:tcPr>
          <w:p>
            <w:pPr>
              <w:spacing w:after="20"/>
            </w:pPr>
            <w:r>
              <w:rPr>
                <w:b w:val="0"/>
                <w:color w:val="1C262B"/>
                <w:sz w:val="20"/>
              </w:rPr>
              <w:t>(d)(1)</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20"/>
              </w:rPr>
              <w:t>Fundamental Concepts of Economics Related to PFL</w:t>
            </w:r>
          </w:p>
        </w:tc>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Unit 1</w:t>
            </w:r>
          </w:p>
        </w:tc>
      </w:tr>
      <w:tr>
        <w:tc>
          <w:tcPr>
            <w:tcW w:type="dxa" w:w="1440"/>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(d)(2)</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Personal Financial Planning, Goal Setting, and Decision-Making</w:t>
            </w:r>
          </w:p>
        </w:tc>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Unit 1</w:t>
            </w:r>
          </w:p>
        </w:tc>
      </w:tr>
      <w:tr>
        <w:tc>
          <w:tcPr>
            <w:tcW w:type="dxa" w:w="1440"/>
            <w:tcBorders>
              <w:top w:val="single" w:sz="6" w:color="C9D6DC"/>
              <w:left w:val="single" w:sz="6" w:color="C9D6DC"/>
              <w:bottom w:val="single" w:sz="6" w:color="C9D6DC"/>
              <w:right w:val="single" w:sz="6" w:color="C9D6DC"/>
            </w:tcBorders>
          </w:tcPr>
          <w:p>
            <w:pPr>
              <w:spacing w:after="20"/>
            </w:pPr>
            <w:r>
              <w:rPr>
                <w:b w:val="0"/>
                <w:color w:val="1C262B"/>
                <w:sz w:val="20"/>
              </w:rPr>
              <w:t>(d)(3)</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20"/>
              </w:rPr>
              <w:t>Careers, Postsecondary Education, and Earning Potential</w:t>
            </w:r>
          </w:p>
        </w:tc>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Unit 2</w:t>
            </w:r>
          </w:p>
        </w:tc>
      </w:tr>
      <w:tr>
        <w:tc>
          <w:tcPr>
            <w:tcW w:type="dxa" w:w="1440"/>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(d)(4)</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Consumer Economics and Financial Decision-Making</w:t>
            </w:r>
          </w:p>
        </w:tc>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Unit 5</w:t>
            </w:r>
          </w:p>
        </w:tc>
      </w:tr>
      <w:tr>
        <w:tc>
          <w:tcPr>
            <w:tcW w:type="dxa" w:w="1440"/>
            <w:tcBorders>
              <w:top w:val="single" w:sz="6" w:color="C9D6DC"/>
              <w:left w:val="single" w:sz="6" w:color="C9D6DC"/>
              <w:bottom w:val="single" w:sz="6" w:color="C9D6DC"/>
              <w:right w:val="single" w:sz="6" w:color="C9D6DC"/>
            </w:tcBorders>
          </w:tcPr>
          <w:p>
            <w:pPr>
              <w:spacing w:after="20"/>
            </w:pPr>
            <w:r>
              <w:rPr>
                <w:b w:val="0"/>
                <w:color w:val="1C262B"/>
                <w:sz w:val="20"/>
              </w:rPr>
              <w:t>(d)(5)</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20"/>
              </w:rPr>
              <w:t>Earning Income</w:t>
            </w:r>
          </w:p>
        </w:tc>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Unit 3</w:t>
            </w:r>
          </w:p>
        </w:tc>
      </w:tr>
      <w:tr>
        <w:tc>
          <w:tcPr>
            <w:tcW w:type="dxa" w:w="1440"/>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(d)(6)</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Budgeting: Spending and Planning</w:t>
            </w:r>
          </w:p>
        </w:tc>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Units 4 and 5</w:t>
            </w:r>
          </w:p>
        </w:tc>
      </w:tr>
      <w:tr>
        <w:tc>
          <w:tcPr>
            <w:tcW w:type="dxa" w:w="1440"/>
            <w:tcBorders>
              <w:top w:val="single" w:sz="6" w:color="C9D6DC"/>
              <w:left w:val="single" w:sz="6" w:color="C9D6DC"/>
              <w:bottom w:val="single" w:sz="6" w:color="C9D6DC"/>
              <w:right w:val="single" w:sz="6" w:color="C9D6DC"/>
            </w:tcBorders>
          </w:tcPr>
          <w:p>
            <w:pPr>
              <w:spacing w:after="20"/>
            </w:pPr>
            <w:r>
              <w:rPr>
                <w:b w:val="0"/>
                <w:color w:val="1C262B"/>
                <w:sz w:val="20"/>
              </w:rPr>
              <w:t>(d)(7)</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20"/>
              </w:rPr>
              <w:t>Saving and Investing</w:t>
            </w:r>
          </w:p>
        </w:tc>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Units 6 and 7</w:t>
            </w:r>
          </w:p>
        </w:tc>
      </w:tr>
      <w:tr>
        <w:tc>
          <w:tcPr>
            <w:tcW w:type="dxa" w:w="1440"/>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(d)(8)</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Credit and Debt</w:t>
            </w:r>
          </w:p>
        </w:tc>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Unit 8</w:t>
            </w:r>
          </w:p>
        </w:tc>
      </w:tr>
      <w:tr>
        <w:tc>
          <w:tcPr>
            <w:tcW w:type="dxa" w:w="1440"/>
            <w:tcBorders>
              <w:top w:val="single" w:sz="6" w:color="C9D6DC"/>
              <w:left w:val="single" w:sz="6" w:color="C9D6DC"/>
              <w:bottom w:val="single" w:sz="6" w:color="C9D6DC"/>
              <w:right w:val="single" w:sz="6" w:color="C9D6DC"/>
            </w:tcBorders>
          </w:tcPr>
          <w:p>
            <w:pPr>
              <w:spacing w:after="20"/>
            </w:pPr>
            <w:r>
              <w:rPr>
                <w:b w:val="0"/>
                <w:color w:val="1C262B"/>
                <w:sz w:val="20"/>
              </w:rPr>
              <w:t>(d)(9)</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20"/>
              </w:rPr>
              <w:t>Risk Management and Insurance</w:t>
            </w:r>
          </w:p>
        </w:tc>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Unit 9</w:t>
            </w:r>
          </w:p>
        </w:tc>
      </w:tr>
      <w:tr>
        <w:tc>
          <w:tcPr>
            <w:tcW w:type="dxa" w:w="1440"/>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(d)(10)</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Entrepreneurship and Personal Financial Opportunity</w:t>
            </w:r>
          </w:p>
        </w:tc>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Unit 10</w:t>
            </w:r>
          </w:p>
        </w:tc>
      </w:tr>
    </w:tbl>
    <w:p>
      <w:pPr>
        <w:spacing w:after="40"/>
      </w:pPr>
    </w:p>
    <w:p>
      <w:pPr>
        <w:spacing w:after="120"/>
      </w:pPr>
      <w:r>
        <w:rPr>
          <w:b w:val="0"/>
          <w:i/>
          <w:color w:val="5C6B73"/>
          <w:sz w:val="20"/>
        </w:rPr>
        <w:t>Note on (d)(6)(G): the vehicle purchase-versus-lease expectation sits under Budgeting in the standard. This course teaches it in Unit 5 with the other major-purchase content, which is a sequencing choice, not a coverage gap. The crosswalk below shows it under (d)(6) where the standard places it.</w:t>
      </w:r>
    </w:p>
    <w:p>
      <w:pPr>
        <w:spacing w:before="240" w:after="80"/>
      </w:pPr>
      <w:r>
        <w:rPr>
          <w:rFonts w:ascii="Calibri" w:hAnsi="Calibri"/>
          <w:b/>
          <w:color w:val="0F3D5C"/>
          <w:sz w:val="26"/>
        </w:rPr>
        <w:t>Unit-by-unit coverage</w:t>
      </w:r>
    </w:p>
    <w:tbl>
      <w:tblPr>
        <w:tblW w:type="auto" w:w="0"/>
        <w:jc w:val="left"/>
        <w:tblLook w:firstColumn="1" w:firstRow="1" w:lastColumn="0" w:lastRow="0" w:noHBand="0" w:noVBand="1" w:val="04A0"/>
      </w:tblPr>
      <w:tblGrid>
        <w:gridCol w:w="2556"/>
        <w:gridCol w:w="2556"/>
        <w:gridCol w:w="2556"/>
        <w:gridCol w:w="2556"/>
      </w:tblGrid>
      <w:tr>
        <w:tc>
          <w:tcPr>
            <w:tcW w:type="dxa" w:w="864"/>
            <w:shd w:val="clear" w:fill="EAF2F4"/>
            <w:tcBorders>
              <w:top w:val="single" w:sz="6" w:color="C9D6DC"/>
              <w:left w:val="single" w:sz="6" w:color="C9D6DC"/>
              <w:bottom w:val="single" w:sz="6" w:color="C9D6DC"/>
              <w:right w:val="single" w:sz="6" w:color="C9D6DC"/>
            </w:tcBorders>
          </w:tcPr>
          <w:p>
            <w:pPr>
              <w:spacing w:after="20"/>
            </w:pPr>
            <w:r>
              <w:rPr>
                <w:b/>
                <w:color w:val="0F3D5C"/>
                <w:sz w:val="19"/>
              </w:rPr>
              <w:t>Unit</w:t>
            </w:r>
          </w:p>
        </w:tc>
        <w:tc>
          <w:tcPr>
            <w:tcW w:type="dxa" w:w="4320"/>
            <w:shd w:val="clear" w:fill="EAF2F4"/>
            <w:tcBorders>
              <w:top w:val="single" w:sz="6" w:color="C9D6DC"/>
              <w:left w:val="single" w:sz="6" w:color="C9D6DC"/>
              <w:bottom w:val="single" w:sz="6" w:color="C9D6DC"/>
              <w:right w:val="single" w:sz="6" w:color="C9D6DC"/>
            </w:tcBorders>
          </w:tcPr>
          <w:p>
            <w:pPr>
              <w:spacing w:after="20"/>
            </w:pPr>
            <w:r>
              <w:rPr>
                <w:b/>
                <w:color w:val="0F3D5C"/>
                <w:sz w:val="19"/>
              </w:rPr>
              <w:t>Title</w:t>
            </w:r>
          </w:p>
        </w:tc>
        <w:tc>
          <w:tcPr>
            <w:tcW w:type="dxa" w:w="1008"/>
            <w:shd w:val="clear" w:fill="EAF2F4"/>
            <w:tcBorders>
              <w:top w:val="single" w:sz="6" w:color="C9D6DC"/>
              <w:left w:val="single" w:sz="6" w:color="C9D6DC"/>
              <w:bottom w:val="single" w:sz="6" w:color="C9D6DC"/>
              <w:right w:val="single" w:sz="6" w:color="C9D6DC"/>
            </w:tcBorders>
          </w:tcPr>
          <w:p>
            <w:pPr>
              <w:spacing w:after="20"/>
            </w:pPr>
            <w:r>
              <w:rPr>
                <w:b/>
                <w:color w:val="0F3D5C"/>
                <w:sz w:val="19"/>
              </w:rPr>
              <w:t>Days</w:t>
            </w:r>
          </w:p>
        </w:tc>
        <w:tc>
          <w:tcPr>
            <w:tcW w:type="dxa" w:w="4032"/>
            <w:shd w:val="clear" w:fill="EAF2F4"/>
            <w:tcBorders>
              <w:top w:val="single" w:sz="6" w:color="C9D6DC"/>
              <w:left w:val="single" w:sz="6" w:color="C9D6DC"/>
              <w:bottom w:val="single" w:sz="6" w:color="C9D6DC"/>
              <w:right w:val="single" w:sz="6" w:color="C9D6DC"/>
            </w:tcBorders>
          </w:tcPr>
          <w:p>
            <w:pPr>
              <w:spacing w:after="20"/>
            </w:pPr>
            <w:r>
              <w:rPr>
                <w:b/>
                <w:color w:val="0F3D5C"/>
                <w:sz w:val="19"/>
              </w:rPr>
              <w:t>Statements covered</w:t>
            </w:r>
          </w:p>
        </w:tc>
      </w:tr>
      <w:tr>
        <w:tc>
          <w:tcPr>
            <w:tcW w:type="dxa" w:w="864"/>
            <w:tcBorders>
              <w:top w:val="single" w:sz="6" w:color="C9D6DC"/>
              <w:left w:val="single" w:sz="6" w:color="C9D6DC"/>
              <w:bottom w:val="single" w:sz="6" w:color="C9D6DC"/>
              <w:right w:val="single" w:sz="6" w:color="C9D6DC"/>
            </w:tcBorders>
          </w:tcPr>
          <w:p>
            <w:pPr>
              <w:spacing w:after="20"/>
            </w:pPr>
            <w:r>
              <w:rPr>
                <w:b w:val="0"/>
                <w:color w:val="1C262B"/>
                <w:sz w:val="19"/>
              </w:rPr>
              <w:t>1</w:t>
            </w:r>
          </w:p>
        </w:tc>
        <w:tc>
          <w:tcPr>
            <w:tcW w:type="dxa" w:w="4320"/>
            <w:tcBorders>
              <w:top w:val="single" w:sz="6" w:color="C9D6DC"/>
              <w:left w:val="single" w:sz="6" w:color="C9D6DC"/>
              <w:bottom w:val="single" w:sz="6" w:color="C9D6DC"/>
              <w:right w:val="single" w:sz="6" w:color="C9D6DC"/>
            </w:tcBorders>
          </w:tcPr>
          <w:p>
            <w:pPr>
              <w:spacing w:after="20"/>
            </w:pPr>
            <w:r>
              <w:rPr>
                <w:b w:val="0"/>
                <w:color w:val="1C262B"/>
                <w:sz w:val="19"/>
              </w:rPr>
              <w:t>Economic Foundations and Decision-Making</w:t>
            </w:r>
          </w:p>
        </w:tc>
        <w:tc>
          <w:tcPr>
            <w:tcW w:type="dxa" w:w="1008"/>
            <w:tcBorders>
              <w:top w:val="single" w:sz="6" w:color="C9D6DC"/>
              <w:left w:val="single" w:sz="6" w:color="C9D6DC"/>
              <w:bottom w:val="single" w:sz="6" w:color="C9D6DC"/>
              <w:right w:val="single" w:sz="6" w:color="C9D6DC"/>
            </w:tcBorders>
          </w:tcPr>
          <w:p>
            <w:pPr>
              <w:spacing w:after="20"/>
            </w:pPr>
            <w:r>
              <w:rPr>
                <w:b w:val="0"/>
                <w:color w:val="1C262B"/>
                <w:sz w:val="19"/>
              </w:rPr>
              <w:t>7</w:t>
            </w:r>
          </w:p>
        </w:tc>
        <w:tc>
          <w:tcPr>
            <w:tcW w:type="dxa" w:w="4032"/>
            <w:tcBorders>
              <w:top w:val="single" w:sz="6" w:color="C9D6DC"/>
              <w:left w:val="single" w:sz="6" w:color="C9D6DC"/>
              <w:bottom w:val="single" w:sz="6" w:color="C9D6DC"/>
              <w:right w:val="single" w:sz="6" w:color="C9D6DC"/>
            </w:tcBorders>
          </w:tcPr>
          <w:p>
            <w:pPr>
              <w:spacing w:after="20"/>
            </w:pPr>
            <w:r>
              <w:rPr>
                <w:b w:val="0"/>
                <w:color w:val="1C262B"/>
                <w:sz w:val="19"/>
              </w:rPr>
              <w:t>§113.26(d)(1) · §113.26(d)(2)</w:t>
            </w:r>
          </w:p>
        </w:tc>
      </w:tr>
      <w:tr>
        <w:tc>
          <w:tcPr>
            <w:tcW w:type="dxa" w:w="8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2</w:t>
            </w:r>
          </w:p>
        </w:tc>
        <w:tc>
          <w:tcPr>
            <w:tcW w:type="dxa" w:w="432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Careers, Education and Earning Potential</w:t>
            </w:r>
          </w:p>
        </w:tc>
        <w:tc>
          <w:tcPr>
            <w:tcW w:type="dxa" w:w="100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8</w:t>
            </w:r>
          </w:p>
        </w:tc>
        <w:tc>
          <w:tcPr>
            <w:tcW w:type="dxa" w:w="4032"/>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§113.26(d)(3)</w:t>
            </w:r>
          </w:p>
        </w:tc>
      </w:tr>
      <w:tr>
        <w:tc>
          <w:tcPr>
            <w:tcW w:type="dxa" w:w="864"/>
            <w:tcBorders>
              <w:top w:val="single" w:sz="6" w:color="C9D6DC"/>
              <w:left w:val="single" w:sz="6" w:color="C9D6DC"/>
              <w:bottom w:val="single" w:sz="6" w:color="C9D6DC"/>
              <w:right w:val="single" w:sz="6" w:color="C9D6DC"/>
            </w:tcBorders>
          </w:tcPr>
          <w:p>
            <w:pPr>
              <w:spacing w:after="20"/>
            </w:pPr>
            <w:r>
              <w:rPr>
                <w:b w:val="0"/>
                <w:color w:val="1C262B"/>
                <w:sz w:val="19"/>
              </w:rPr>
              <w:t>3</w:t>
            </w:r>
          </w:p>
        </w:tc>
        <w:tc>
          <w:tcPr>
            <w:tcW w:type="dxa" w:w="4320"/>
            <w:tcBorders>
              <w:top w:val="single" w:sz="6" w:color="C9D6DC"/>
              <w:left w:val="single" w:sz="6" w:color="C9D6DC"/>
              <w:bottom w:val="single" w:sz="6" w:color="C9D6DC"/>
              <w:right w:val="single" w:sz="6" w:color="C9D6DC"/>
            </w:tcBorders>
          </w:tcPr>
          <w:p>
            <w:pPr>
              <w:spacing w:after="20"/>
            </w:pPr>
            <w:r>
              <w:rPr>
                <w:b w:val="0"/>
                <w:color w:val="1C262B"/>
                <w:sz w:val="19"/>
              </w:rPr>
              <w:t>Earning Income, Paychecks and Taxes</w:t>
            </w:r>
          </w:p>
        </w:tc>
        <w:tc>
          <w:tcPr>
            <w:tcW w:type="dxa" w:w="1008"/>
            <w:tcBorders>
              <w:top w:val="single" w:sz="6" w:color="C9D6DC"/>
              <w:left w:val="single" w:sz="6" w:color="C9D6DC"/>
              <w:bottom w:val="single" w:sz="6" w:color="C9D6DC"/>
              <w:right w:val="single" w:sz="6" w:color="C9D6DC"/>
            </w:tcBorders>
          </w:tcPr>
          <w:p>
            <w:pPr>
              <w:spacing w:after="20"/>
            </w:pPr>
            <w:r>
              <w:rPr>
                <w:b w:val="0"/>
                <w:color w:val="1C262B"/>
                <w:sz w:val="19"/>
              </w:rPr>
              <w:t>11</w:t>
            </w:r>
          </w:p>
        </w:tc>
        <w:tc>
          <w:tcPr>
            <w:tcW w:type="dxa" w:w="4032"/>
            <w:tcBorders>
              <w:top w:val="single" w:sz="6" w:color="C9D6DC"/>
              <w:left w:val="single" w:sz="6" w:color="C9D6DC"/>
              <w:bottom w:val="single" w:sz="6" w:color="C9D6DC"/>
              <w:right w:val="single" w:sz="6" w:color="C9D6DC"/>
            </w:tcBorders>
          </w:tcPr>
          <w:p>
            <w:pPr>
              <w:spacing w:after="20"/>
            </w:pPr>
            <w:r>
              <w:rPr>
                <w:b w:val="0"/>
                <w:color w:val="1C262B"/>
                <w:sz w:val="19"/>
              </w:rPr>
              <w:t>§113.26(d)(5)</w:t>
            </w:r>
          </w:p>
        </w:tc>
      </w:tr>
      <w:tr>
        <w:tc>
          <w:tcPr>
            <w:tcW w:type="dxa" w:w="8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4</w:t>
            </w:r>
          </w:p>
        </w:tc>
        <w:tc>
          <w:tcPr>
            <w:tcW w:type="dxa" w:w="432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Budgeting and Money Management</w:t>
            </w:r>
          </w:p>
        </w:tc>
        <w:tc>
          <w:tcPr>
            <w:tcW w:type="dxa" w:w="100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10</w:t>
            </w:r>
          </w:p>
        </w:tc>
        <w:tc>
          <w:tcPr>
            <w:tcW w:type="dxa" w:w="4032"/>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§113.26(d)(6)</w:t>
            </w:r>
          </w:p>
        </w:tc>
      </w:tr>
      <w:tr>
        <w:tc>
          <w:tcPr>
            <w:tcW w:type="dxa" w:w="864"/>
            <w:tcBorders>
              <w:top w:val="single" w:sz="6" w:color="C9D6DC"/>
              <w:left w:val="single" w:sz="6" w:color="C9D6DC"/>
              <w:bottom w:val="single" w:sz="6" w:color="C9D6DC"/>
              <w:right w:val="single" w:sz="6" w:color="C9D6DC"/>
            </w:tcBorders>
          </w:tcPr>
          <w:p>
            <w:pPr>
              <w:spacing w:after="20"/>
            </w:pPr>
            <w:r>
              <w:rPr>
                <w:b w:val="0"/>
                <w:color w:val="1C262B"/>
                <w:sz w:val="19"/>
              </w:rPr>
              <w:t>5</w:t>
            </w:r>
          </w:p>
        </w:tc>
        <w:tc>
          <w:tcPr>
            <w:tcW w:type="dxa" w:w="4320"/>
            <w:tcBorders>
              <w:top w:val="single" w:sz="6" w:color="C9D6DC"/>
              <w:left w:val="single" w:sz="6" w:color="C9D6DC"/>
              <w:bottom w:val="single" w:sz="6" w:color="C9D6DC"/>
              <w:right w:val="single" w:sz="6" w:color="C9D6DC"/>
            </w:tcBorders>
          </w:tcPr>
          <w:p>
            <w:pPr>
              <w:spacing w:after="20"/>
            </w:pPr>
            <w:r>
              <w:rPr>
                <w:b w:val="0"/>
                <w:color w:val="1C262B"/>
                <w:sz w:val="19"/>
              </w:rPr>
              <w:t>Consumer Economics and Major Purchases</w:t>
            </w:r>
          </w:p>
        </w:tc>
        <w:tc>
          <w:tcPr>
            <w:tcW w:type="dxa" w:w="1008"/>
            <w:tcBorders>
              <w:top w:val="single" w:sz="6" w:color="C9D6DC"/>
              <w:left w:val="single" w:sz="6" w:color="C9D6DC"/>
              <w:bottom w:val="single" w:sz="6" w:color="C9D6DC"/>
              <w:right w:val="single" w:sz="6" w:color="C9D6DC"/>
            </w:tcBorders>
          </w:tcPr>
          <w:p>
            <w:pPr>
              <w:spacing w:after="20"/>
            </w:pPr>
            <w:r>
              <w:rPr>
                <w:b w:val="0"/>
                <w:color w:val="1C262B"/>
                <w:sz w:val="19"/>
              </w:rPr>
              <w:t>9</w:t>
            </w:r>
          </w:p>
        </w:tc>
        <w:tc>
          <w:tcPr>
            <w:tcW w:type="dxa" w:w="4032"/>
            <w:tcBorders>
              <w:top w:val="single" w:sz="6" w:color="C9D6DC"/>
              <w:left w:val="single" w:sz="6" w:color="C9D6DC"/>
              <w:bottom w:val="single" w:sz="6" w:color="C9D6DC"/>
              <w:right w:val="single" w:sz="6" w:color="C9D6DC"/>
            </w:tcBorders>
          </w:tcPr>
          <w:p>
            <w:pPr>
              <w:spacing w:after="20"/>
            </w:pPr>
            <w:r>
              <w:rPr>
                <w:b w:val="0"/>
                <w:color w:val="1C262B"/>
                <w:sz w:val="19"/>
              </w:rPr>
              <w:t>§113.26(d)(4) · §113.26(d)(6)</w:t>
            </w:r>
          </w:p>
        </w:tc>
      </w:tr>
      <w:tr>
        <w:tc>
          <w:tcPr>
            <w:tcW w:type="dxa" w:w="8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6</w:t>
            </w:r>
          </w:p>
        </w:tc>
        <w:tc>
          <w:tcPr>
            <w:tcW w:type="dxa" w:w="432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Banking and Saving</w:t>
            </w:r>
          </w:p>
        </w:tc>
        <w:tc>
          <w:tcPr>
            <w:tcW w:type="dxa" w:w="100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7</w:t>
            </w:r>
          </w:p>
        </w:tc>
        <w:tc>
          <w:tcPr>
            <w:tcW w:type="dxa" w:w="4032"/>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§113.26(d)(7)</w:t>
            </w:r>
          </w:p>
        </w:tc>
      </w:tr>
      <w:tr>
        <w:tc>
          <w:tcPr>
            <w:tcW w:type="dxa" w:w="864"/>
            <w:tcBorders>
              <w:top w:val="single" w:sz="6" w:color="C9D6DC"/>
              <w:left w:val="single" w:sz="6" w:color="C9D6DC"/>
              <w:bottom w:val="single" w:sz="6" w:color="C9D6DC"/>
              <w:right w:val="single" w:sz="6" w:color="C9D6DC"/>
            </w:tcBorders>
          </w:tcPr>
          <w:p>
            <w:pPr>
              <w:spacing w:after="20"/>
            </w:pPr>
            <w:r>
              <w:rPr>
                <w:b w:val="0"/>
                <w:color w:val="1C262B"/>
                <w:sz w:val="19"/>
              </w:rPr>
              <w:t>7</w:t>
            </w:r>
          </w:p>
        </w:tc>
        <w:tc>
          <w:tcPr>
            <w:tcW w:type="dxa" w:w="4320"/>
            <w:tcBorders>
              <w:top w:val="single" w:sz="6" w:color="C9D6DC"/>
              <w:left w:val="single" w:sz="6" w:color="C9D6DC"/>
              <w:bottom w:val="single" w:sz="6" w:color="C9D6DC"/>
              <w:right w:val="single" w:sz="6" w:color="C9D6DC"/>
            </w:tcBorders>
          </w:tcPr>
          <w:p>
            <w:pPr>
              <w:spacing w:after="20"/>
            </w:pPr>
            <w:r>
              <w:rPr>
                <w:b w:val="0"/>
                <w:color w:val="1C262B"/>
                <w:sz w:val="19"/>
              </w:rPr>
              <w:t>Investing and Retirement</w:t>
            </w:r>
          </w:p>
        </w:tc>
        <w:tc>
          <w:tcPr>
            <w:tcW w:type="dxa" w:w="1008"/>
            <w:tcBorders>
              <w:top w:val="single" w:sz="6" w:color="C9D6DC"/>
              <w:left w:val="single" w:sz="6" w:color="C9D6DC"/>
              <w:bottom w:val="single" w:sz="6" w:color="C9D6DC"/>
              <w:right w:val="single" w:sz="6" w:color="C9D6DC"/>
            </w:tcBorders>
          </w:tcPr>
          <w:p>
            <w:pPr>
              <w:spacing w:after="20"/>
            </w:pPr>
            <w:r>
              <w:rPr>
                <w:b w:val="0"/>
                <w:color w:val="1C262B"/>
                <w:sz w:val="19"/>
              </w:rPr>
              <w:t>11</w:t>
            </w:r>
          </w:p>
        </w:tc>
        <w:tc>
          <w:tcPr>
            <w:tcW w:type="dxa" w:w="4032"/>
            <w:tcBorders>
              <w:top w:val="single" w:sz="6" w:color="C9D6DC"/>
              <w:left w:val="single" w:sz="6" w:color="C9D6DC"/>
              <w:bottom w:val="single" w:sz="6" w:color="C9D6DC"/>
              <w:right w:val="single" w:sz="6" w:color="C9D6DC"/>
            </w:tcBorders>
          </w:tcPr>
          <w:p>
            <w:pPr>
              <w:spacing w:after="20"/>
            </w:pPr>
            <w:r>
              <w:rPr>
                <w:b w:val="0"/>
                <w:color w:val="1C262B"/>
                <w:sz w:val="19"/>
              </w:rPr>
              <w:t>§113.26(d)(7)</w:t>
            </w:r>
          </w:p>
        </w:tc>
      </w:tr>
      <w:tr>
        <w:tc>
          <w:tcPr>
            <w:tcW w:type="dxa" w:w="8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8</w:t>
            </w:r>
          </w:p>
        </w:tc>
        <w:tc>
          <w:tcPr>
            <w:tcW w:type="dxa" w:w="432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Credit and Debt</w:t>
            </w:r>
          </w:p>
        </w:tc>
        <w:tc>
          <w:tcPr>
            <w:tcW w:type="dxa" w:w="100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12</w:t>
            </w:r>
          </w:p>
        </w:tc>
        <w:tc>
          <w:tcPr>
            <w:tcW w:type="dxa" w:w="4032"/>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§113.26(d)(8)</w:t>
            </w:r>
          </w:p>
        </w:tc>
      </w:tr>
      <w:tr>
        <w:tc>
          <w:tcPr>
            <w:tcW w:type="dxa" w:w="864"/>
            <w:tcBorders>
              <w:top w:val="single" w:sz="6" w:color="C9D6DC"/>
              <w:left w:val="single" w:sz="6" w:color="C9D6DC"/>
              <w:bottom w:val="single" w:sz="6" w:color="C9D6DC"/>
              <w:right w:val="single" w:sz="6" w:color="C9D6DC"/>
            </w:tcBorders>
          </w:tcPr>
          <w:p>
            <w:pPr>
              <w:spacing w:after="20"/>
            </w:pPr>
            <w:r>
              <w:rPr>
                <w:b w:val="0"/>
                <w:color w:val="1C262B"/>
                <w:sz w:val="19"/>
              </w:rPr>
              <w:t>9</w:t>
            </w:r>
          </w:p>
        </w:tc>
        <w:tc>
          <w:tcPr>
            <w:tcW w:type="dxa" w:w="4320"/>
            <w:tcBorders>
              <w:top w:val="single" w:sz="6" w:color="C9D6DC"/>
              <w:left w:val="single" w:sz="6" w:color="C9D6DC"/>
              <w:bottom w:val="single" w:sz="6" w:color="C9D6DC"/>
              <w:right w:val="single" w:sz="6" w:color="C9D6DC"/>
            </w:tcBorders>
          </w:tcPr>
          <w:p>
            <w:pPr>
              <w:spacing w:after="20"/>
            </w:pPr>
            <w:r>
              <w:rPr>
                <w:b w:val="0"/>
                <w:color w:val="1C262B"/>
                <w:sz w:val="19"/>
              </w:rPr>
              <w:t>Risk Management and Insurance</w:t>
            </w:r>
          </w:p>
        </w:tc>
        <w:tc>
          <w:tcPr>
            <w:tcW w:type="dxa" w:w="1008"/>
            <w:tcBorders>
              <w:top w:val="single" w:sz="6" w:color="C9D6DC"/>
              <w:left w:val="single" w:sz="6" w:color="C9D6DC"/>
              <w:bottom w:val="single" w:sz="6" w:color="C9D6DC"/>
              <w:right w:val="single" w:sz="6" w:color="C9D6DC"/>
            </w:tcBorders>
          </w:tcPr>
          <w:p>
            <w:pPr>
              <w:spacing w:after="20"/>
            </w:pPr>
            <w:r>
              <w:rPr>
                <w:b w:val="0"/>
                <w:color w:val="1C262B"/>
                <w:sz w:val="19"/>
              </w:rPr>
              <w:t>9</w:t>
            </w:r>
          </w:p>
        </w:tc>
        <w:tc>
          <w:tcPr>
            <w:tcW w:type="dxa" w:w="4032"/>
            <w:tcBorders>
              <w:top w:val="single" w:sz="6" w:color="C9D6DC"/>
              <w:left w:val="single" w:sz="6" w:color="C9D6DC"/>
              <w:bottom w:val="single" w:sz="6" w:color="C9D6DC"/>
              <w:right w:val="single" w:sz="6" w:color="C9D6DC"/>
            </w:tcBorders>
          </w:tcPr>
          <w:p>
            <w:pPr>
              <w:spacing w:after="20"/>
            </w:pPr>
            <w:r>
              <w:rPr>
                <w:b w:val="0"/>
                <w:color w:val="1C262B"/>
                <w:sz w:val="19"/>
              </w:rPr>
              <w:t>§113.26(d)(9)</w:t>
            </w:r>
          </w:p>
        </w:tc>
      </w:tr>
      <w:tr>
        <w:tc>
          <w:tcPr>
            <w:tcW w:type="dxa" w:w="8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10</w:t>
            </w:r>
          </w:p>
        </w:tc>
        <w:tc>
          <w:tcPr>
            <w:tcW w:type="dxa" w:w="432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Entrepreneurship and Capstone</w:t>
            </w:r>
          </w:p>
        </w:tc>
        <w:tc>
          <w:tcPr>
            <w:tcW w:type="dxa" w:w="100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6</w:t>
            </w:r>
          </w:p>
        </w:tc>
        <w:tc>
          <w:tcPr>
            <w:tcW w:type="dxa" w:w="4032"/>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§113.26(d)(10)</w:t>
            </w:r>
          </w:p>
        </w:tc>
      </w:tr>
    </w:tbl>
    <w:p>
      <w:pPr>
        <w:spacing w:after="40"/>
      </w:pPr>
    </w:p>
    <w:p>
      <w:pPr>
        <w:spacing w:after="120"/>
      </w:pPr>
      <w:r>
        <w:rPr>
          <w:b/>
          <w:i w:val="0"/>
          <w:color w:val="1C262B"/>
          <w:sz w:val="21"/>
        </w:rPr>
        <w:t>Total: 90 instructional days of 45 to 55 minutes. Pacing calendars for 45, 60, 75 and 90 days are included with the course.</w:t>
      </w:r>
    </w:p>
    <w:p>
      <w:r>
        <w:br w:type="page"/>
      </w:r>
    </w:p>
    <w:p>
      <w:pPr>
        <w:spacing w:before="0" w:after="80"/>
      </w:pPr>
      <w:r>
        <w:rPr>
          <w:rFonts w:ascii="Calibri" w:hAnsi="Calibri"/>
          <w:b/>
          <w:color w:val="0F3D5C"/>
          <w:sz w:val="26"/>
        </w:rPr>
        <w:t>Student expectations addressed by the published lessons</w:t>
      </w:r>
    </w:p>
    <w:p>
      <w:pPr>
        <w:spacing w:after="120"/>
      </w:pPr>
      <w:r>
        <w:rPr>
          <w:b w:val="0"/>
          <w:i w:val="0"/>
          <w:color w:val="5C6B73"/>
          <w:sz w:val="21"/>
        </w:rPr>
        <w:t>Each lesson below is a complete kit: slides with teacher script, guided notes at two levels, a student packet, a no-device station activity, an emergency sub day, two quiz versions, full answer keys, a teacher primer, vocabulary and its own alignment page.</w:t>
      </w:r>
    </w:p>
    <w:p>
      <w:pPr>
        <w:spacing w:before="200" w:after="60"/>
      </w:pPr>
      <w:r>
        <w:rPr>
          <w:b/>
          <w:color w:val="12796B"/>
          <w:sz w:val="23"/>
        </w:rPr>
        <w:t>Topic 01 · Reading a Pay Stub   —   Unit 3</w:t>
      </w:r>
    </w:p>
    <w:tbl>
      <w:tblPr>
        <w:tblW w:type="auto" w:w="0"/>
        <w:jc w:val="left"/>
        <w:tblLook w:firstColumn="1" w:firstRow="1" w:lastColumn="0" w:lastRow="0" w:noHBand="0" w:noVBand="1" w:val="04A0"/>
      </w:tblPr>
      <w:tblGrid>
        <w:gridCol w:w="3408"/>
        <w:gridCol w:w="3408"/>
        <w:gridCol w:w="3408"/>
      </w:tblGrid>
      <w:tr>
        <w:tc>
          <w:tcPr>
            <w:tcW w:type="dxa" w:w="1872"/>
            <w:shd w:val="clear" w:fill="EAF2F4"/>
            <w:tcBorders>
              <w:top w:val="single" w:sz="6" w:color="C9D6DC"/>
              <w:left w:val="single" w:sz="6" w:color="C9D6DC"/>
              <w:bottom w:val="single" w:sz="6" w:color="C9D6DC"/>
              <w:right w:val="single" w:sz="6" w:color="C9D6DC"/>
            </w:tcBorders>
          </w:tcPr>
          <w:p>
            <w:pPr>
              <w:spacing w:after="20"/>
            </w:pPr>
            <w:r>
              <w:rPr>
                <w:b/>
                <w:color w:val="0F3D5C"/>
                <w:sz w:val="17"/>
              </w:rPr>
              <w:t>Citation</w:t>
            </w:r>
          </w:p>
        </w:tc>
        <w:tc>
          <w:tcPr>
            <w:tcW w:type="dxa" w:w="2304"/>
            <w:shd w:val="clear" w:fill="EAF2F4"/>
            <w:tcBorders>
              <w:top w:val="single" w:sz="6" w:color="C9D6DC"/>
              <w:left w:val="single" w:sz="6" w:color="C9D6DC"/>
              <w:bottom w:val="single" w:sz="6" w:color="C9D6DC"/>
              <w:right w:val="single" w:sz="6" w:color="C9D6DC"/>
            </w:tcBorders>
          </w:tcPr>
          <w:p>
            <w:pPr>
              <w:spacing w:after="20"/>
            </w:pPr>
            <w:r>
              <w:rPr>
                <w:b/>
                <w:color w:val="0F3D5C"/>
                <w:sz w:val="17"/>
              </w:rPr>
              <w:t>Statement</w:t>
            </w:r>
          </w:p>
        </w:tc>
        <w:tc>
          <w:tcPr>
            <w:tcW w:type="dxa" w:w="6048"/>
            <w:shd w:val="clear" w:fill="EAF2F4"/>
            <w:tcBorders>
              <w:top w:val="single" w:sz="6" w:color="C9D6DC"/>
              <w:left w:val="single" w:sz="6" w:color="C9D6DC"/>
              <w:bottom w:val="single" w:sz="6" w:color="C9D6DC"/>
              <w:right w:val="single" w:sz="6" w:color="C9D6DC"/>
            </w:tcBorders>
          </w:tcPr>
          <w:p>
            <w:pPr>
              <w:spacing w:after="20"/>
            </w:pPr>
            <w:r>
              <w:rPr>
                <w:b/>
                <w:color w:val="0F3D5C"/>
                <w:sz w:val="17"/>
              </w:rPr>
              <w:t>Student expectation</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§113.26(d)(5)(J)</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Earning Income</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differentiate between gross pay and net pay by explaining how taxes, deductions, and withholdings affect take-home earnings using sample pay stubs</w:t>
            </w:r>
          </w:p>
        </w:tc>
      </w:tr>
      <w:tr>
        <w:tc>
          <w:tcPr>
            <w:tcW w:type="dxa" w:w="1872"/>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§113.26(d)(5)(C)</w:t>
            </w:r>
          </w:p>
        </w:tc>
        <w:tc>
          <w:tcPr>
            <w:tcW w:type="dxa" w:w="2304"/>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Earning Income</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research employment forms of the IRS, including W-2, W-4, W-9, 1099, and 1040</w:t>
            </w:r>
          </w:p>
        </w:tc>
      </w:tr>
    </w:tbl>
    <w:p>
      <w:pPr>
        <w:spacing w:after="40"/>
      </w:pPr>
    </w:p>
    <w:p>
      <w:pPr>
        <w:spacing w:before="200" w:after="60"/>
      </w:pPr>
      <w:r>
        <w:rPr>
          <w:b/>
          <w:color w:val="12796B"/>
          <w:sz w:val="23"/>
        </w:rPr>
        <w:t>Topic 02 · Filing a 1040 with a W-2   —   Unit 3</w:t>
      </w:r>
    </w:p>
    <w:tbl>
      <w:tblPr>
        <w:tblW w:type="auto" w:w="0"/>
        <w:jc w:val="left"/>
        <w:tblLook w:firstColumn="1" w:firstRow="1" w:lastColumn="0" w:lastRow="0" w:noHBand="0" w:noVBand="1" w:val="04A0"/>
      </w:tblPr>
      <w:tblGrid>
        <w:gridCol w:w="3408"/>
        <w:gridCol w:w="3408"/>
        <w:gridCol w:w="3408"/>
      </w:tblGrid>
      <w:tr>
        <w:tc>
          <w:tcPr>
            <w:tcW w:type="dxa" w:w="1872"/>
            <w:shd w:val="clear" w:fill="EAF2F4"/>
            <w:tcBorders>
              <w:top w:val="single" w:sz="6" w:color="C9D6DC"/>
              <w:left w:val="single" w:sz="6" w:color="C9D6DC"/>
              <w:bottom w:val="single" w:sz="6" w:color="C9D6DC"/>
              <w:right w:val="single" w:sz="6" w:color="C9D6DC"/>
            </w:tcBorders>
          </w:tcPr>
          <w:p>
            <w:pPr>
              <w:spacing w:after="20"/>
            </w:pPr>
            <w:r>
              <w:rPr>
                <w:b/>
                <w:color w:val="0F3D5C"/>
                <w:sz w:val="17"/>
              </w:rPr>
              <w:t>Citation</w:t>
            </w:r>
          </w:p>
        </w:tc>
        <w:tc>
          <w:tcPr>
            <w:tcW w:type="dxa" w:w="2304"/>
            <w:shd w:val="clear" w:fill="EAF2F4"/>
            <w:tcBorders>
              <w:top w:val="single" w:sz="6" w:color="C9D6DC"/>
              <w:left w:val="single" w:sz="6" w:color="C9D6DC"/>
              <w:bottom w:val="single" w:sz="6" w:color="C9D6DC"/>
              <w:right w:val="single" w:sz="6" w:color="C9D6DC"/>
            </w:tcBorders>
          </w:tcPr>
          <w:p>
            <w:pPr>
              <w:spacing w:after="20"/>
            </w:pPr>
            <w:r>
              <w:rPr>
                <w:b/>
                <w:color w:val="0F3D5C"/>
                <w:sz w:val="17"/>
              </w:rPr>
              <w:t>Statement</w:t>
            </w:r>
          </w:p>
        </w:tc>
        <w:tc>
          <w:tcPr>
            <w:tcW w:type="dxa" w:w="6048"/>
            <w:shd w:val="clear" w:fill="EAF2F4"/>
            <w:tcBorders>
              <w:top w:val="single" w:sz="6" w:color="C9D6DC"/>
              <w:left w:val="single" w:sz="6" w:color="C9D6DC"/>
              <w:bottom w:val="single" w:sz="6" w:color="C9D6DC"/>
              <w:right w:val="single" w:sz="6" w:color="C9D6DC"/>
            </w:tcBorders>
          </w:tcPr>
          <w:p>
            <w:pPr>
              <w:spacing w:after="20"/>
            </w:pPr>
            <w:r>
              <w:rPr>
                <w:b/>
                <w:color w:val="0F3D5C"/>
                <w:sz w:val="17"/>
              </w:rPr>
              <w:t>Student expectation</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§113.26(d)(5)(K)</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Earning Income</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complete a simulated tax scenario by applying knowledge of filing status, income sources, deductions, credits, tax withholding, and estimated tax</w:t>
            </w:r>
          </w:p>
        </w:tc>
      </w:tr>
      <w:tr>
        <w:tc>
          <w:tcPr>
            <w:tcW w:type="dxa" w:w="1872"/>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§113.26(d)(5)(C)</w:t>
            </w:r>
          </w:p>
        </w:tc>
        <w:tc>
          <w:tcPr>
            <w:tcW w:type="dxa" w:w="2304"/>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Earning Income</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research employment forms of the IRS, including W-2, W-4, W-9, 1099, and 1040</w:t>
            </w:r>
          </w:p>
        </w:tc>
      </w:tr>
    </w:tbl>
    <w:p>
      <w:pPr>
        <w:spacing w:after="40"/>
      </w:pPr>
    </w:p>
    <w:p>
      <w:pPr>
        <w:spacing w:before="200" w:after="60"/>
      </w:pPr>
      <w:r>
        <w:rPr>
          <w:b/>
          <w:color w:val="12796B"/>
          <w:sz w:val="23"/>
        </w:rPr>
        <w:t>Topic 03 · Completing a W-4   —   Unit 3</w:t>
      </w:r>
    </w:p>
    <w:tbl>
      <w:tblPr>
        <w:tblW w:type="auto" w:w="0"/>
        <w:jc w:val="left"/>
        <w:tblLook w:firstColumn="1" w:firstRow="1" w:lastColumn="0" w:lastRow="0" w:noHBand="0" w:noVBand="1" w:val="04A0"/>
      </w:tblPr>
      <w:tblGrid>
        <w:gridCol w:w="3408"/>
        <w:gridCol w:w="3408"/>
        <w:gridCol w:w="3408"/>
      </w:tblGrid>
      <w:tr>
        <w:tc>
          <w:tcPr>
            <w:tcW w:type="dxa" w:w="1872"/>
            <w:shd w:val="clear" w:fill="EAF2F4"/>
            <w:tcBorders>
              <w:top w:val="single" w:sz="6" w:color="C9D6DC"/>
              <w:left w:val="single" w:sz="6" w:color="C9D6DC"/>
              <w:bottom w:val="single" w:sz="6" w:color="C9D6DC"/>
              <w:right w:val="single" w:sz="6" w:color="C9D6DC"/>
            </w:tcBorders>
          </w:tcPr>
          <w:p>
            <w:pPr>
              <w:spacing w:after="20"/>
            </w:pPr>
            <w:r>
              <w:rPr>
                <w:b/>
                <w:color w:val="0F3D5C"/>
                <w:sz w:val="17"/>
              </w:rPr>
              <w:t>Citation</w:t>
            </w:r>
          </w:p>
        </w:tc>
        <w:tc>
          <w:tcPr>
            <w:tcW w:type="dxa" w:w="2304"/>
            <w:shd w:val="clear" w:fill="EAF2F4"/>
            <w:tcBorders>
              <w:top w:val="single" w:sz="6" w:color="C9D6DC"/>
              <w:left w:val="single" w:sz="6" w:color="C9D6DC"/>
              <w:bottom w:val="single" w:sz="6" w:color="C9D6DC"/>
              <w:right w:val="single" w:sz="6" w:color="C9D6DC"/>
            </w:tcBorders>
          </w:tcPr>
          <w:p>
            <w:pPr>
              <w:spacing w:after="20"/>
            </w:pPr>
            <w:r>
              <w:rPr>
                <w:b/>
                <w:color w:val="0F3D5C"/>
                <w:sz w:val="17"/>
              </w:rPr>
              <w:t>Statement</w:t>
            </w:r>
          </w:p>
        </w:tc>
        <w:tc>
          <w:tcPr>
            <w:tcW w:type="dxa" w:w="6048"/>
            <w:shd w:val="clear" w:fill="EAF2F4"/>
            <w:tcBorders>
              <w:top w:val="single" w:sz="6" w:color="C9D6DC"/>
              <w:left w:val="single" w:sz="6" w:color="C9D6DC"/>
              <w:bottom w:val="single" w:sz="6" w:color="C9D6DC"/>
              <w:right w:val="single" w:sz="6" w:color="C9D6DC"/>
            </w:tcBorders>
          </w:tcPr>
          <w:p>
            <w:pPr>
              <w:spacing w:after="20"/>
            </w:pPr>
            <w:r>
              <w:rPr>
                <w:b/>
                <w:color w:val="0F3D5C"/>
                <w:sz w:val="17"/>
              </w:rPr>
              <w:t>Student expectation</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§113.26(d)(5)(C)</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Earning Income</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research employment forms of the IRS, including W-2, W-4, W-9, 1099, and 1040</w:t>
            </w:r>
          </w:p>
        </w:tc>
      </w:tr>
      <w:tr>
        <w:tc>
          <w:tcPr>
            <w:tcW w:type="dxa" w:w="1872"/>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§113.26(d)(5)(J)</w:t>
            </w:r>
          </w:p>
        </w:tc>
        <w:tc>
          <w:tcPr>
            <w:tcW w:type="dxa" w:w="2304"/>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Earning Income</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differentiate between gross pay and net pay by explaining how taxes, deductions, and withholdings affect take-home earnings</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§113.26(d)(5)(K)</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Earning Income</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complete a simulated tax scenario applying filing status, withholding, and estimated tax</w:t>
            </w:r>
          </w:p>
        </w:tc>
      </w:tr>
    </w:tbl>
    <w:p>
      <w:pPr>
        <w:spacing w:after="40"/>
      </w:pPr>
    </w:p>
    <w:p>
      <w:pPr>
        <w:spacing w:before="200" w:after="60"/>
      </w:pPr>
      <w:r>
        <w:rPr>
          <w:b/>
          <w:color w:val="12796B"/>
          <w:sz w:val="23"/>
        </w:rPr>
        <w:t>Topic 04 · Credit Scores: the five factors   —   Unit 8</w:t>
      </w:r>
    </w:p>
    <w:tbl>
      <w:tblPr>
        <w:tblW w:type="auto" w:w="0"/>
        <w:jc w:val="left"/>
        <w:tblLook w:firstColumn="1" w:firstRow="1" w:lastColumn="0" w:lastRow="0" w:noHBand="0" w:noVBand="1" w:val="04A0"/>
      </w:tblPr>
      <w:tblGrid>
        <w:gridCol w:w="3408"/>
        <w:gridCol w:w="3408"/>
        <w:gridCol w:w="3408"/>
      </w:tblGrid>
      <w:tr>
        <w:tc>
          <w:tcPr>
            <w:tcW w:type="dxa" w:w="1872"/>
            <w:shd w:val="clear" w:fill="EAF2F4"/>
            <w:tcBorders>
              <w:top w:val="single" w:sz="6" w:color="C9D6DC"/>
              <w:left w:val="single" w:sz="6" w:color="C9D6DC"/>
              <w:bottom w:val="single" w:sz="6" w:color="C9D6DC"/>
              <w:right w:val="single" w:sz="6" w:color="C9D6DC"/>
            </w:tcBorders>
          </w:tcPr>
          <w:p>
            <w:pPr>
              <w:spacing w:after="20"/>
            </w:pPr>
            <w:r>
              <w:rPr>
                <w:b/>
                <w:color w:val="0F3D5C"/>
                <w:sz w:val="17"/>
              </w:rPr>
              <w:t>Citation</w:t>
            </w:r>
          </w:p>
        </w:tc>
        <w:tc>
          <w:tcPr>
            <w:tcW w:type="dxa" w:w="2304"/>
            <w:shd w:val="clear" w:fill="EAF2F4"/>
            <w:tcBorders>
              <w:top w:val="single" w:sz="6" w:color="C9D6DC"/>
              <w:left w:val="single" w:sz="6" w:color="C9D6DC"/>
              <w:bottom w:val="single" w:sz="6" w:color="C9D6DC"/>
              <w:right w:val="single" w:sz="6" w:color="C9D6DC"/>
            </w:tcBorders>
          </w:tcPr>
          <w:p>
            <w:pPr>
              <w:spacing w:after="20"/>
            </w:pPr>
            <w:r>
              <w:rPr>
                <w:b/>
                <w:color w:val="0F3D5C"/>
                <w:sz w:val="17"/>
              </w:rPr>
              <w:t>Statement</w:t>
            </w:r>
          </w:p>
        </w:tc>
        <w:tc>
          <w:tcPr>
            <w:tcW w:type="dxa" w:w="6048"/>
            <w:shd w:val="clear" w:fill="EAF2F4"/>
            <w:tcBorders>
              <w:top w:val="single" w:sz="6" w:color="C9D6DC"/>
              <w:left w:val="single" w:sz="6" w:color="C9D6DC"/>
              <w:bottom w:val="single" w:sz="6" w:color="C9D6DC"/>
              <w:right w:val="single" w:sz="6" w:color="C9D6DC"/>
            </w:tcBorders>
          </w:tcPr>
          <w:p>
            <w:pPr>
              <w:spacing w:after="20"/>
            </w:pPr>
            <w:r>
              <w:rPr>
                <w:b/>
                <w:color w:val="0F3D5C"/>
                <w:sz w:val="17"/>
              </w:rPr>
              <w:t>Student expectation</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§113.26(d)(8)(C)</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Credit and Debt</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identify factors in credit reports, including potential errors that impact credit scores, and analyze behaviors that can improve or harm creditworthiness over time</w:t>
            </w:r>
          </w:p>
        </w:tc>
      </w:tr>
      <w:tr>
        <w:tc>
          <w:tcPr>
            <w:tcW w:type="dxa" w:w="1872"/>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§113.26(d)(8)(D)</w:t>
            </w:r>
          </w:p>
        </w:tc>
        <w:tc>
          <w:tcPr>
            <w:tcW w:type="dxa" w:w="2304"/>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Credit and Debt</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develop a plan to build or maintain creditworthiness</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§113.26(d)(8)(E)</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Credit and Debt</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analyze sources of credit and explain how creditworthiness factors influence access to credit</w:t>
            </w:r>
          </w:p>
        </w:tc>
      </w:tr>
    </w:tbl>
    <w:p>
      <w:pPr>
        <w:spacing w:after="40"/>
      </w:pPr>
    </w:p>
    <w:p>
      <w:pPr>
        <w:spacing w:before="200" w:after="60"/>
      </w:pPr>
      <w:r>
        <w:rPr>
          <w:b/>
          <w:color w:val="12796B"/>
          <w:sz w:val="23"/>
        </w:rPr>
        <w:t>Topic 05 · Credit Card Math: APR and minimum payments   —   Unit 8</w:t>
      </w:r>
    </w:p>
    <w:tbl>
      <w:tblPr>
        <w:tblW w:type="auto" w:w="0"/>
        <w:jc w:val="left"/>
        <w:tblLook w:firstColumn="1" w:firstRow="1" w:lastColumn="0" w:lastRow="0" w:noHBand="0" w:noVBand="1" w:val="04A0"/>
      </w:tblPr>
      <w:tblGrid>
        <w:gridCol w:w="3408"/>
        <w:gridCol w:w="3408"/>
        <w:gridCol w:w="3408"/>
      </w:tblGrid>
      <w:tr>
        <w:tc>
          <w:tcPr>
            <w:tcW w:type="dxa" w:w="1872"/>
            <w:shd w:val="clear" w:fill="EAF2F4"/>
            <w:tcBorders>
              <w:top w:val="single" w:sz="6" w:color="C9D6DC"/>
              <w:left w:val="single" w:sz="6" w:color="C9D6DC"/>
              <w:bottom w:val="single" w:sz="6" w:color="C9D6DC"/>
              <w:right w:val="single" w:sz="6" w:color="C9D6DC"/>
            </w:tcBorders>
          </w:tcPr>
          <w:p>
            <w:pPr>
              <w:spacing w:after="20"/>
            </w:pPr>
            <w:r>
              <w:rPr>
                <w:b/>
                <w:color w:val="0F3D5C"/>
                <w:sz w:val="17"/>
              </w:rPr>
              <w:t>Citation</w:t>
            </w:r>
          </w:p>
        </w:tc>
        <w:tc>
          <w:tcPr>
            <w:tcW w:type="dxa" w:w="2304"/>
            <w:shd w:val="clear" w:fill="EAF2F4"/>
            <w:tcBorders>
              <w:top w:val="single" w:sz="6" w:color="C9D6DC"/>
              <w:left w:val="single" w:sz="6" w:color="C9D6DC"/>
              <w:bottom w:val="single" w:sz="6" w:color="C9D6DC"/>
              <w:right w:val="single" w:sz="6" w:color="C9D6DC"/>
            </w:tcBorders>
          </w:tcPr>
          <w:p>
            <w:pPr>
              <w:spacing w:after="20"/>
            </w:pPr>
            <w:r>
              <w:rPr>
                <w:b/>
                <w:color w:val="0F3D5C"/>
                <w:sz w:val="17"/>
              </w:rPr>
              <w:t>Statement</w:t>
            </w:r>
          </w:p>
        </w:tc>
        <w:tc>
          <w:tcPr>
            <w:tcW w:type="dxa" w:w="6048"/>
            <w:shd w:val="clear" w:fill="EAF2F4"/>
            <w:tcBorders>
              <w:top w:val="single" w:sz="6" w:color="C9D6DC"/>
              <w:left w:val="single" w:sz="6" w:color="C9D6DC"/>
              <w:bottom w:val="single" w:sz="6" w:color="C9D6DC"/>
              <w:right w:val="single" w:sz="6" w:color="C9D6DC"/>
            </w:tcBorders>
          </w:tcPr>
          <w:p>
            <w:pPr>
              <w:spacing w:after="20"/>
            </w:pPr>
            <w:r>
              <w:rPr>
                <w:b/>
                <w:color w:val="0F3D5C"/>
                <w:sz w:val="17"/>
              </w:rPr>
              <w:t>Student expectation</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§113.26(d)(8)(F)</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Credit and Debt</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analyze the components of the cost of borrowing, including annual percentage rate, fixed versus variable interest rates, length of term, grace period, and additional fees</w:t>
            </w:r>
          </w:p>
        </w:tc>
      </w:tr>
      <w:tr>
        <w:tc>
          <w:tcPr>
            <w:tcW w:type="dxa" w:w="1872"/>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§113.26(d)(4)(F)</w:t>
            </w:r>
          </w:p>
        </w:tc>
        <w:tc>
          <w:tcPr>
            <w:tcW w:type="dxa" w:w="2304"/>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Consumer Economics and Financial Decision-Making</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evaluate the true and sunk cost and risks of high-interest credit services by calculating interest costs and analyzing the consequences of missed or late payments</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§113.26(d)(8)(G)</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Credit and Debt</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evaluate high-cost and predatory lending practices and compare their total cost to traditional credit options</w:t>
            </w:r>
          </w:p>
        </w:tc>
      </w:tr>
    </w:tbl>
    <w:p>
      <w:pPr>
        <w:spacing w:after="40"/>
      </w:pPr>
    </w:p>
    <w:p>
      <w:r>
        <w:br w:type="page"/>
      </w:r>
    </w:p>
    <w:p>
      <w:pPr>
        <w:spacing w:before="200" w:after="60"/>
      </w:pPr>
      <w:r>
        <w:rPr>
          <w:b/>
          <w:color w:val="12796B"/>
          <w:sz w:val="23"/>
        </w:rPr>
        <w:t>Topic 06 · Build a Monthly Budget   —   Unit 4</w:t>
      </w:r>
    </w:p>
    <w:tbl>
      <w:tblPr>
        <w:tblW w:type="auto" w:w="0"/>
        <w:jc w:val="left"/>
        <w:tblLook w:firstColumn="1" w:firstRow="1" w:lastColumn="0" w:lastRow="0" w:noHBand="0" w:noVBand="1" w:val="04A0"/>
      </w:tblPr>
      <w:tblGrid>
        <w:gridCol w:w="3408"/>
        <w:gridCol w:w="3408"/>
        <w:gridCol w:w="3408"/>
      </w:tblGrid>
      <w:tr>
        <w:tc>
          <w:tcPr>
            <w:tcW w:type="dxa" w:w="1872"/>
            <w:shd w:val="clear" w:fill="EAF2F4"/>
            <w:tcBorders>
              <w:top w:val="single" w:sz="6" w:color="C9D6DC"/>
              <w:left w:val="single" w:sz="6" w:color="C9D6DC"/>
              <w:bottom w:val="single" w:sz="6" w:color="C9D6DC"/>
              <w:right w:val="single" w:sz="6" w:color="C9D6DC"/>
            </w:tcBorders>
          </w:tcPr>
          <w:p>
            <w:pPr>
              <w:spacing w:after="20"/>
            </w:pPr>
            <w:r>
              <w:rPr>
                <w:b/>
                <w:color w:val="0F3D5C"/>
                <w:sz w:val="17"/>
              </w:rPr>
              <w:t>Citation</w:t>
            </w:r>
          </w:p>
        </w:tc>
        <w:tc>
          <w:tcPr>
            <w:tcW w:type="dxa" w:w="2304"/>
            <w:shd w:val="clear" w:fill="EAF2F4"/>
            <w:tcBorders>
              <w:top w:val="single" w:sz="6" w:color="C9D6DC"/>
              <w:left w:val="single" w:sz="6" w:color="C9D6DC"/>
              <w:bottom w:val="single" w:sz="6" w:color="C9D6DC"/>
              <w:right w:val="single" w:sz="6" w:color="C9D6DC"/>
            </w:tcBorders>
          </w:tcPr>
          <w:p>
            <w:pPr>
              <w:spacing w:after="20"/>
            </w:pPr>
            <w:r>
              <w:rPr>
                <w:b/>
                <w:color w:val="0F3D5C"/>
                <w:sz w:val="17"/>
              </w:rPr>
              <w:t>Statement</w:t>
            </w:r>
          </w:p>
        </w:tc>
        <w:tc>
          <w:tcPr>
            <w:tcW w:type="dxa" w:w="6048"/>
            <w:shd w:val="clear" w:fill="EAF2F4"/>
            <w:tcBorders>
              <w:top w:val="single" w:sz="6" w:color="C9D6DC"/>
              <w:left w:val="single" w:sz="6" w:color="C9D6DC"/>
              <w:bottom w:val="single" w:sz="6" w:color="C9D6DC"/>
              <w:right w:val="single" w:sz="6" w:color="C9D6DC"/>
            </w:tcBorders>
          </w:tcPr>
          <w:p>
            <w:pPr>
              <w:spacing w:after="20"/>
            </w:pPr>
            <w:r>
              <w:rPr>
                <w:b/>
                <w:color w:val="0F3D5C"/>
                <w:sz w:val="17"/>
              </w:rPr>
              <w:t>Student expectation</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§113.26(d)(6)(B)</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Budgeting: Spending and Planning</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develop a balanced budget that accounts for income, fixed and variable expenses, and savings as a proportion of total income using digital or manual tools</w:t>
            </w:r>
          </w:p>
        </w:tc>
      </w:tr>
      <w:tr>
        <w:tc>
          <w:tcPr>
            <w:tcW w:type="dxa" w:w="1872"/>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§113.26(d)(6)(J)</w:t>
            </w:r>
          </w:p>
        </w:tc>
        <w:tc>
          <w:tcPr>
            <w:tcW w:type="dxa" w:w="2304"/>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Budgeting: Spending and Planning</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create a monthly and annual household budget based on the 50-30-20 rule of budgeting</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§113.26(d)(6)(A)</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Budgeting: Spending and Planning</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define fixed and variable expenses, savings, total income, financial records, and the 50-30-20 rule of budgeting</w:t>
            </w:r>
          </w:p>
        </w:tc>
      </w:tr>
    </w:tbl>
    <w:p>
      <w:pPr>
        <w:spacing w:after="40"/>
      </w:pPr>
    </w:p>
    <w:p>
      <w:pPr>
        <w:spacing w:before="200" w:after="60"/>
      </w:pPr>
      <w:r>
        <w:rPr>
          <w:b/>
          <w:color w:val="12796B"/>
          <w:sz w:val="23"/>
        </w:rPr>
        <w:t>Topic 07 · Buy a Car: total cost of ownership   —   Unit 5</w:t>
      </w:r>
    </w:p>
    <w:tbl>
      <w:tblPr>
        <w:tblW w:type="auto" w:w="0"/>
        <w:jc w:val="left"/>
        <w:tblLook w:firstColumn="1" w:firstRow="1" w:lastColumn="0" w:lastRow="0" w:noHBand="0" w:noVBand="1" w:val="04A0"/>
      </w:tblPr>
      <w:tblGrid>
        <w:gridCol w:w="3408"/>
        <w:gridCol w:w="3408"/>
        <w:gridCol w:w="3408"/>
      </w:tblGrid>
      <w:tr>
        <w:tc>
          <w:tcPr>
            <w:tcW w:type="dxa" w:w="1872"/>
            <w:shd w:val="clear" w:fill="EAF2F4"/>
            <w:tcBorders>
              <w:top w:val="single" w:sz="6" w:color="C9D6DC"/>
              <w:left w:val="single" w:sz="6" w:color="C9D6DC"/>
              <w:bottom w:val="single" w:sz="6" w:color="C9D6DC"/>
              <w:right w:val="single" w:sz="6" w:color="C9D6DC"/>
            </w:tcBorders>
          </w:tcPr>
          <w:p>
            <w:pPr>
              <w:spacing w:after="20"/>
            </w:pPr>
            <w:r>
              <w:rPr>
                <w:b/>
                <w:color w:val="0F3D5C"/>
                <w:sz w:val="17"/>
              </w:rPr>
              <w:t>Citation</w:t>
            </w:r>
          </w:p>
        </w:tc>
        <w:tc>
          <w:tcPr>
            <w:tcW w:type="dxa" w:w="2304"/>
            <w:shd w:val="clear" w:fill="EAF2F4"/>
            <w:tcBorders>
              <w:top w:val="single" w:sz="6" w:color="C9D6DC"/>
              <w:left w:val="single" w:sz="6" w:color="C9D6DC"/>
              <w:bottom w:val="single" w:sz="6" w:color="C9D6DC"/>
              <w:right w:val="single" w:sz="6" w:color="C9D6DC"/>
            </w:tcBorders>
          </w:tcPr>
          <w:p>
            <w:pPr>
              <w:spacing w:after="20"/>
            </w:pPr>
            <w:r>
              <w:rPr>
                <w:b/>
                <w:color w:val="0F3D5C"/>
                <w:sz w:val="17"/>
              </w:rPr>
              <w:t>Statement</w:t>
            </w:r>
          </w:p>
        </w:tc>
        <w:tc>
          <w:tcPr>
            <w:tcW w:type="dxa" w:w="6048"/>
            <w:shd w:val="clear" w:fill="EAF2F4"/>
            <w:tcBorders>
              <w:top w:val="single" w:sz="6" w:color="C9D6DC"/>
              <w:left w:val="single" w:sz="6" w:color="C9D6DC"/>
              <w:bottom w:val="single" w:sz="6" w:color="C9D6DC"/>
              <w:right w:val="single" w:sz="6" w:color="C9D6DC"/>
            </w:tcBorders>
          </w:tcPr>
          <w:p>
            <w:pPr>
              <w:spacing w:after="20"/>
            </w:pPr>
            <w:r>
              <w:rPr>
                <w:b/>
                <w:color w:val="0F3D5C"/>
                <w:sz w:val="17"/>
              </w:rPr>
              <w:t>Student expectation</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§113.26(d)(6)(G)</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Budgeting: Spending and Planning</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calculate and compare the costs and benefits of purchasing versus leasing different types of vehicles by analyzing lease agreements, purchase contracts, loan payments, insurance requirements, depreciation, and total cost of ownership</w:t>
            </w:r>
          </w:p>
        </w:tc>
      </w:tr>
      <w:tr>
        <w:tc>
          <w:tcPr>
            <w:tcW w:type="dxa" w:w="1872"/>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§113.26(d)(1)(E)</w:t>
            </w:r>
          </w:p>
        </w:tc>
        <w:tc>
          <w:tcPr>
            <w:tcW w:type="dxa" w:w="2304"/>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Fundamental Concepts of Economics</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compare how appreciation and depreciation affect asset values and net worth</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§113.26(d)(4)(E)</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Consumer Economics and Financial Decision-Making</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apply structured financial decision-making frameworks, including cost-benefit analysis and opportunity cost evaluation</w:t>
            </w:r>
          </w:p>
        </w:tc>
      </w:tr>
    </w:tbl>
    <w:p>
      <w:pPr>
        <w:spacing w:after="40"/>
      </w:pPr>
    </w:p>
    <w:p>
      <w:pPr>
        <w:spacing w:before="200" w:after="60"/>
      </w:pPr>
      <w:r>
        <w:rPr>
          <w:b/>
          <w:color w:val="12796B"/>
          <w:sz w:val="23"/>
        </w:rPr>
        <w:t>Topic 08 · Compound Interest and the Rule of 72   —   Unit 6</w:t>
      </w:r>
    </w:p>
    <w:tbl>
      <w:tblPr>
        <w:tblW w:type="auto" w:w="0"/>
        <w:jc w:val="left"/>
        <w:tblLook w:firstColumn="1" w:firstRow="1" w:lastColumn="0" w:lastRow="0" w:noHBand="0" w:noVBand="1" w:val="04A0"/>
      </w:tblPr>
      <w:tblGrid>
        <w:gridCol w:w="3408"/>
        <w:gridCol w:w="3408"/>
        <w:gridCol w:w="3408"/>
      </w:tblGrid>
      <w:tr>
        <w:tc>
          <w:tcPr>
            <w:tcW w:type="dxa" w:w="1872"/>
            <w:shd w:val="clear" w:fill="EAF2F4"/>
            <w:tcBorders>
              <w:top w:val="single" w:sz="6" w:color="C9D6DC"/>
              <w:left w:val="single" w:sz="6" w:color="C9D6DC"/>
              <w:bottom w:val="single" w:sz="6" w:color="C9D6DC"/>
              <w:right w:val="single" w:sz="6" w:color="C9D6DC"/>
            </w:tcBorders>
          </w:tcPr>
          <w:p>
            <w:pPr>
              <w:spacing w:after="20"/>
            </w:pPr>
            <w:r>
              <w:rPr>
                <w:b/>
                <w:color w:val="0F3D5C"/>
                <w:sz w:val="17"/>
              </w:rPr>
              <w:t>Citation</w:t>
            </w:r>
          </w:p>
        </w:tc>
        <w:tc>
          <w:tcPr>
            <w:tcW w:type="dxa" w:w="2304"/>
            <w:shd w:val="clear" w:fill="EAF2F4"/>
            <w:tcBorders>
              <w:top w:val="single" w:sz="6" w:color="C9D6DC"/>
              <w:left w:val="single" w:sz="6" w:color="C9D6DC"/>
              <w:bottom w:val="single" w:sz="6" w:color="C9D6DC"/>
              <w:right w:val="single" w:sz="6" w:color="C9D6DC"/>
            </w:tcBorders>
          </w:tcPr>
          <w:p>
            <w:pPr>
              <w:spacing w:after="20"/>
            </w:pPr>
            <w:r>
              <w:rPr>
                <w:b/>
                <w:color w:val="0F3D5C"/>
                <w:sz w:val="17"/>
              </w:rPr>
              <w:t>Statement</w:t>
            </w:r>
          </w:p>
        </w:tc>
        <w:tc>
          <w:tcPr>
            <w:tcW w:type="dxa" w:w="6048"/>
            <w:shd w:val="clear" w:fill="EAF2F4"/>
            <w:tcBorders>
              <w:top w:val="single" w:sz="6" w:color="C9D6DC"/>
              <w:left w:val="single" w:sz="6" w:color="C9D6DC"/>
              <w:bottom w:val="single" w:sz="6" w:color="C9D6DC"/>
              <w:right w:val="single" w:sz="6" w:color="C9D6DC"/>
            </w:tcBorders>
          </w:tcPr>
          <w:p>
            <w:pPr>
              <w:spacing w:after="20"/>
            </w:pPr>
            <w:r>
              <w:rPr>
                <w:b/>
                <w:color w:val="0F3D5C"/>
                <w:sz w:val="17"/>
              </w:rPr>
              <w:t>Student expectation</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§113.26(d)(7)(E)</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Saving and Investing</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calculate simple and compound interest and apply the Rule of 72 to estimate savings growth, investment growth, and borrowing costs</w:t>
            </w:r>
          </w:p>
        </w:tc>
      </w:tr>
      <w:tr>
        <w:tc>
          <w:tcPr>
            <w:tcW w:type="dxa" w:w="1872"/>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§113.26(d)(7)(B)</w:t>
            </w:r>
          </w:p>
        </w:tc>
        <w:tc>
          <w:tcPr>
            <w:tcW w:type="dxa" w:w="2304"/>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Saving and Investing</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compare the features, benefits, and limitations of various savings options by evaluating interest rates, liquidity, fees, and deposit insurance protections</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§113.26(d)(6)(I)</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Budgeting: Spending and Planning</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analyze how inflation impacts purchasing power, savings, and budgeting</w:t>
            </w:r>
          </w:p>
        </w:tc>
      </w:tr>
    </w:tbl>
    <w:p>
      <w:pPr>
        <w:spacing w:after="40"/>
      </w:pPr>
    </w:p>
    <w:p>
      <w:pPr>
        <w:spacing w:before="200" w:after="60"/>
      </w:pPr>
      <w:r>
        <w:rPr>
          <w:b/>
          <w:color w:val="12796B"/>
          <w:sz w:val="23"/>
        </w:rPr>
        <w:t>Topic 09 · FAFSA and the True Cost of a Student Loan   —   Unit 2</w:t>
      </w:r>
    </w:p>
    <w:tbl>
      <w:tblPr>
        <w:tblW w:type="auto" w:w="0"/>
        <w:jc w:val="left"/>
        <w:tblLook w:firstColumn="1" w:firstRow="1" w:lastColumn="0" w:lastRow="0" w:noHBand="0" w:noVBand="1" w:val="04A0"/>
      </w:tblPr>
      <w:tblGrid>
        <w:gridCol w:w="3408"/>
        <w:gridCol w:w="3408"/>
        <w:gridCol w:w="3408"/>
      </w:tblGrid>
      <w:tr>
        <w:tc>
          <w:tcPr>
            <w:tcW w:type="dxa" w:w="1872"/>
            <w:shd w:val="clear" w:fill="EAF2F4"/>
            <w:tcBorders>
              <w:top w:val="single" w:sz="6" w:color="C9D6DC"/>
              <w:left w:val="single" w:sz="6" w:color="C9D6DC"/>
              <w:bottom w:val="single" w:sz="6" w:color="C9D6DC"/>
              <w:right w:val="single" w:sz="6" w:color="C9D6DC"/>
            </w:tcBorders>
          </w:tcPr>
          <w:p>
            <w:pPr>
              <w:spacing w:after="20"/>
            </w:pPr>
            <w:r>
              <w:rPr>
                <w:b/>
                <w:color w:val="0F3D5C"/>
                <w:sz w:val="17"/>
              </w:rPr>
              <w:t>Citation</w:t>
            </w:r>
          </w:p>
        </w:tc>
        <w:tc>
          <w:tcPr>
            <w:tcW w:type="dxa" w:w="2304"/>
            <w:shd w:val="clear" w:fill="EAF2F4"/>
            <w:tcBorders>
              <w:top w:val="single" w:sz="6" w:color="C9D6DC"/>
              <w:left w:val="single" w:sz="6" w:color="C9D6DC"/>
              <w:bottom w:val="single" w:sz="6" w:color="C9D6DC"/>
              <w:right w:val="single" w:sz="6" w:color="C9D6DC"/>
            </w:tcBorders>
          </w:tcPr>
          <w:p>
            <w:pPr>
              <w:spacing w:after="20"/>
            </w:pPr>
            <w:r>
              <w:rPr>
                <w:b/>
                <w:color w:val="0F3D5C"/>
                <w:sz w:val="17"/>
              </w:rPr>
              <w:t>Statement</w:t>
            </w:r>
          </w:p>
        </w:tc>
        <w:tc>
          <w:tcPr>
            <w:tcW w:type="dxa" w:w="6048"/>
            <w:shd w:val="clear" w:fill="EAF2F4"/>
            <w:tcBorders>
              <w:top w:val="single" w:sz="6" w:color="C9D6DC"/>
              <w:left w:val="single" w:sz="6" w:color="C9D6DC"/>
              <w:bottom w:val="single" w:sz="6" w:color="C9D6DC"/>
              <w:right w:val="single" w:sz="6" w:color="C9D6DC"/>
            </w:tcBorders>
          </w:tcPr>
          <w:p>
            <w:pPr>
              <w:spacing w:after="20"/>
            </w:pPr>
            <w:r>
              <w:rPr>
                <w:b/>
                <w:color w:val="0F3D5C"/>
                <w:sz w:val="17"/>
              </w:rPr>
              <w:t>Student expectation</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§113.26(d)(3)(F)</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Careers, Postsecondary Education, and Earning Potential</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calculate the total cost of postsecondary education or training and evaluate the return on investment, opportunity costs, risks, and debt obligations</w:t>
            </w:r>
          </w:p>
        </w:tc>
      </w:tr>
      <w:tr>
        <w:tc>
          <w:tcPr>
            <w:tcW w:type="dxa" w:w="1872"/>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§113.26(d)(3)(G)</w:t>
            </w:r>
          </w:p>
        </w:tc>
        <w:tc>
          <w:tcPr>
            <w:tcW w:type="dxa" w:w="2304"/>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Careers, Postsecondary Education, and Earning Potential</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list funding sources for postsecondary education, including the FAFSA or TASFA, grants, scholarships, work-study, internships, student loans, tax credits, and family contributions</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§113.26(d)(5)(G)</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Earning Income</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explain the purpose of financial aid applications, such as the FAFSA or TASFA, and identify factors that may affect eligibility</w:t>
            </w:r>
          </w:p>
        </w:tc>
      </w:tr>
      <w:tr>
        <w:tc>
          <w:tcPr>
            <w:tcW w:type="dxa" w:w="1872"/>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§113.26(d)(8)(H)</w:t>
            </w:r>
          </w:p>
        </w:tc>
        <w:tc>
          <w:tcPr>
            <w:tcW w:type="dxa" w:w="2304"/>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Credit and Debt</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evaluate and apply debt management strategies to address student loans, credit cards, and consumer debt</w:t>
            </w:r>
          </w:p>
        </w:tc>
      </w:tr>
    </w:tbl>
    <w:p>
      <w:pPr>
        <w:spacing w:after="40"/>
      </w:pPr>
    </w:p>
    <w:p>
      <w:pPr>
        <w:spacing w:before="200" w:after="60"/>
      </w:pPr>
      <w:r>
        <w:rPr>
          <w:b/>
          <w:color w:val="12796B"/>
          <w:sz w:val="23"/>
        </w:rPr>
        <w:t>Topic 10 · Insurance Math   —   Unit 9</w:t>
      </w:r>
    </w:p>
    <w:tbl>
      <w:tblPr>
        <w:tblW w:type="auto" w:w="0"/>
        <w:jc w:val="left"/>
        <w:tblLook w:firstColumn="1" w:firstRow="1" w:lastColumn="0" w:lastRow="0" w:noHBand="0" w:noVBand="1" w:val="04A0"/>
      </w:tblPr>
      <w:tblGrid>
        <w:gridCol w:w="3408"/>
        <w:gridCol w:w="3408"/>
        <w:gridCol w:w="3408"/>
      </w:tblGrid>
      <w:tr>
        <w:tc>
          <w:tcPr>
            <w:tcW w:type="dxa" w:w="1872"/>
            <w:shd w:val="clear" w:fill="EAF2F4"/>
            <w:tcBorders>
              <w:top w:val="single" w:sz="6" w:color="C9D6DC"/>
              <w:left w:val="single" w:sz="6" w:color="C9D6DC"/>
              <w:bottom w:val="single" w:sz="6" w:color="C9D6DC"/>
              <w:right w:val="single" w:sz="6" w:color="C9D6DC"/>
            </w:tcBorders>
          </w:tcPr>
          <w:p>
            <w:pPr>
              <w:spacing w:after="20"/>
            </w:pPr>
            <w:r>
              <w:rPr>
                <w:b/>
                <w:color w:val="0F3D5C"/>
                <w:sz w:val="17"/>
              </w:rPr>
              <w:t>Citation</w:t>
            </w:r>
          </w:p>
        </w:tc>
        <w:tc>
          <w:tcPr>
            <w:tcW w:type="dxa" w:w="2304"/>
            <w:shd w:val="clear" w:fill="EAF2F4"/>
            <w:tcBorders>
              <w:top w:val="single" w:sz="6" w:color="C9D6DC"/>
              <w:left w:val="single" w:sz="6" w:color="C9D6DC"/>
              <w:bottom w:val="single" w:sz="6" w:color="C9D6DC"/>
              <w:right w:val="single" w:sz="6" w:color="C9D6DC"/>
            </w:tcBorders>
          </w:tcPr>
          <w:p>
            <w:pPr>
              <w:spacing w:after="20"/>
            </w:pPr>
            <w:r>
              <w:rPr>
                <w:b/>
                <w:color w:val="0F3D5C"/>
                <w:sz w:val="17"/>
              </w:rPr>
              <w:t>Statement</w:t>
            </w:r>
          </w:p>
        </w:tc>
        <w:tc>
          <w:tcPr>
            <w:tcW w:type="dxa" w:w="6048"/>
            <w:shd w:val="clear" w:fill="EAF2F4"/>
            <w:tcBorders>
              <w:top w:val="single" w:sz="6" w:color="C9D6DC"/>
              <w:left w:val="single" w:sz="6" w:color="C9D6DC"/>
              <w:bottom w:val="single" w:sz="6" w:color="C9D6DC"/>
              <w:right w:val="single" w:sz="6" w:color="C9D6DC"/>
            </w:tcBorders>
          </w:tcPr>
          <w:p>
            <w:pPr>
              <w:spacing w:after="20"/>
            </w:pPr>
            <w:r>
              <w:rPr>
                <w:b/>
                <w:color w:val="0F3D5C"/>
                <w:sz w:val="17"/>
              </w:rPr>
              <w:t>Student expectation</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§113.26(d)(9)(A)</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Risk Management and Insurance</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define insurance terms, including premium, deductible, copayment, coinsurance, out-of-pocket maximum, and policy limits</w:t>
            </w:r>
          </w:p>
        </w:tc>
      </w:tr>
      <w:tr>
        <w:tc>
          <w:tcPr>
            <w:tcW w:type="dxa" w:w="1872"/>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§113.26(d)(9)(C)</w:t>
            </w:r>
          </w:p>
        </w:tc>
        <w:tc>
          <w:tcPr>
            <w:tcW w:type="dxa" w:w="2304"/>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Risk Management and Insurance</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analyze how personal risk factors and coverage choices affect insurance premiums, including coverage amounts, deductibles, replacement costs, and policy limits</w:t>
            </w:r>
          </w:p>
        </w:tc>
      </w:tr>
      <w:tr>
        <w:tc>
          <w:tcPr>
            <w:tcW w:type="dxa" w:w="1872"/>
            <w:tcBorders>
              <w:top w:val="single" w:sz="6" w:color="C9D6DC"/>
              <w:left w:val="single" w:sz="6" w:color="C9D6DC"/>
              <w:bottom w:val="single" w:sz="6" w:color="C9D6DC"/>
              <w:right w:val="single" w:sz="6" w:color="C9D6DC"/>
            </w:tcBorders>
          </w:tcPr>
          <w:p>
            <w:pPr>
              <w:spacing w:after="20"/>
            </w:pPr>
            <w:r>
              <w:rPr>
                <w:b w:val="0"/>
                <w:color w:val="1C262B"/>
                <w:sz w:val="17"/>
              </w:rPr>
              <w:t>§113.26(d)(9)(D)</w:t>
            </w:r>
          </w:p>
        </w:tc>
        <w:tc>
          <w:tcPr>
            <w:tcW w:type="dxa" w:w="2304"/>
            <w:tcBorders>
              <w:top w:val="single" w:sz="6" w:color="C9D6DC"/>
              <w:left w:val="single" w:sz="6" w:color="C9D6DC"/>
              <w:bottom w:val="single" w:sz="6" w:color="C9D6DC"/>
              <w:right w:val="single" w:sz="6" w:color="C9D6DC"/>
            </w:tcBorders>
          </w:tcPr>
          <w:p>
            <w:pPr>
              <w:spacing w:after="20"/>
            </w:pPr>
            <w:r>
              <w:rPr>
                <w:b w:val="0"/>
                <w:color w:val="1C262B"/>
                <w:sz w:val="17"/>
              </w:rPr>
              <w:t>Risk Management and Insurance</w:t>
            </w:r>
          </w:p>
        </w:tc>
        <w:tc>
          <w:tcPr>
            <w:tcW w:type="dxa" w:w="6048"/>
            <w:tcBorders>
              <w:top w:val="single" w:sz="6" w:color="C9D6DC"/>
              <w:left w:val="single" w:sz="6" w:color="C9D6DC"/>
              <w:bottom w:val="single" w:sz="6" w:color="C9D6DC"/>
              <w:right w:val="single" w:sz="6" w:color="C9D6DC"/>
            </w:tcBorders>
          </w:tcPr>
          <w:p>
            <w:pPr>
              <w:spacing w:after="20"/>
            </w:pPr>
            <w:r>
              <w:rPr>
                <w:b w:val="0"/>
                <w:color w:val="1C262B"/>
                <w:sz w:val="17"/>
              </w:rPr>
              <w:t>classify insurance coverage options, including health, auto, renters or homeowners, life, and disability insurance</w:t>
            </w:r>
          </w:p>
        </w:tc>
      </w:tr>
      <w:tr>
        <w:tc>
          <w:tcPr>
            <w:tcW w:type="dxa" w:w="1872"/>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§113.26(d)(9)(E)</w:t>
            </w:r>
          </w:p>
        </w:tc>
        <w:tc>
          <w:tcPr>
            <w:tcW w:type="dxa" w:w="2304"/>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Risk Management and Insurance</w:t>
            </w:r>
          </w:p>
        </w:tc>
        <w:tc>
          <w:tcPr>
            <w:tcW w:type="dxa" w:w="6048"/>
            <w:tcBorders>
              <w:top w:val="single" w:sz="6" w:color="C9D6DC"/>
              <w:left w:val="single" w:sz="6" w:color="C9D6DC"/>
              <w:bottom w:val="single" w:sz="6" w:color="C9D6DC"/>
              <w:right w:val="single" w:sz="6" w:color="C9D6DC"/>
            </w:tcBorders>
            <w:shd w:val="clear" w:fill="F4F8F9"/>
          </w:tcPr>
          <w:p>
            <w:pPr>
              <w:spacing w:after="20"/>
            </w:pPr>
            <w:r>
              <w:rPr>
                <w:b w:val="0"/>
                <w:color w:val="1C262B"/>
                <w:sz w:val="17"/>
              </w:rPr>
              <w:t>evaluate health insurance options, including premiums, deductibles, copayments, coinsurance, and out-of-pocket maximums</w:t>
            </w:r>
          </w:p>
        </w:tc>
      </w:tr>
    </w:tbl>
    <w:p>
      <w:pPr>
        <w:spacing w:after="40"/>
      </w:pPr>
    </w:p>
    <w:p>
      <w:r>
        <w:br w:type="page"/>
      </w:r>
    </w:p>
    <w:p>
      <w:pPr>
        <w:spacing w:before="0" w:after="80"/>
      </w:pPr>
      <w:r>
        <w:rPr>
          <w:rFonts w:ascii="Calibri" w:hAnsi="Calibri"/>
          <w:b/>
          <w:color w:val="0F3D5C"/>
          <w:sz w:val="26"/>
        </w:rPr>
        <w:t>Dual mapping to §113.76, for students in the earlier cohort</w:t>
      </w:r>
    </w:p>
    <w:p>
      <w:pPr>
        <w:spacing w:after="120"/>
      </w:pPr>
      <w:r>
        <w:rPr>
          <w:b w:val="0"/>
          <w:i w:val="0"/>
          <w:color w:val="1C262B"/>
          <w:sz w:val="21"/>
        </w:rPr>
        <w:t>§113.76, Personal Financial Literacy and Economics, remains the operative course for students who entered Grade 9 before the 2026-2027 school year. Every lesson in this course maps to it as well, so the materials serve both cohorts during the transition.</w:t>
      </w:r>
    </w:p>
    <w:tbl>
      <w:tblPr>
        <w:tblW w:type="auto" w:w="0"/>
        <w:jc w:val="left"/>
        <w:tblLook w:firstColumn="1" w:firstRow="1" w:lastColumn="0" w:lastRow="0" w:noHBand="0" w:noVBand="1" w:val="04A0"/>
      </w:tblPr>
      <w:tblGrid>
        <w:gridCol w:w="5112"/>
        <w:gridCol w:w="5112"/>
      </w:tblGrid>
      <w:tr>
        <w:tc>
          <w:tcPr>
            <w:tcW w:type="dxa" w:w="4896"/>
            <w:shd w:val="clear" w:fill="EAF2F4"/>
            <w:tcBorders>
              <w:top w:val="single" w:sz="6" w:color="C9D6DC"/>
              <w:left w:val="single" w:sz="6" w:color="C9D6DC"/>
              <w:bottom w:val="single" w:sz="6" w:color="C9D6DC"/>
              <w:right w:val="single" w:sz="6" w:color="C9D6DC"/>
            </w:tcBorders>
          </w:tcPr>
          <w:p>
            <w:pPr>
              <w:spacing w:after="20"/>
            </w:pPr>
            <w:r>
              <w:rPr>
                <w:b/>
                <w:color w:val="0F3D5C"/>
                <w:sz w:val="19"/>
              </w:rPr>
              <w:t>Topic</w:t>
            </w:r>
          </w:p>
        </w:tc>
        <w:tc>
          <w:tcPr>
            <w:tcW w:type="dxa" w:w="5328"/>
            <w:shd w:val="clear" w:fill="EAF2F4"/>
            <w:tcBorders>
              <w:top w:val="single" w:sz="6" w:color="C9D6DC"/>
              <w:left w:val="single" w:sz="6" w:color="C9D6DC"/>
              <w:bottom w:val="single" w:sz="6" w:color="C9D6DC"/>
              <w:right w:val="single" w:sz="6" w:color="C9D6DC"/>
            </w:tcBorders>
          </w:tcPr>
          <w:p>
            <w:pPr>
              <w:spacing w:after="20"/>
            </w:pPr>
            <w:r>
              <w:rPr>
                <w:b/>
                <w:color w:val="0F3D5C"/>
                <w:sz w:val="19"/>
              </w:rPr>
              <w:t>§113.76 statement</w:t>
            </w:r>
          </w:p>
        </w:tc>
      </w:tr>
      <w:tr>
        <w:tc>
          <w:tcPr>
            <w:tcW w:type="dxa" w:w="4896"/>
            <w:tcBorders>
              <w:top w:val="single" w:sz="6" w:color="C9D6DC"/>
              <w:left w:val="single" w:sz="6" w:color="C9D6DC"/>
              <w:bottom w:val="single" w:sz="6" w:color="C9D6DC"/>
              <w:right w:val="single" w:sz="6" w:color="C9D6DC"/>
            </w:tcBorders>
          </w:tcPr>
          <w:p>
            <w:pPr>
              <w:spacing w:after="20"/>
            </w:pPr>
            <w:r>
              <w:rPr>
                <w:b w:val="0"/>
                <w:color w:val="1C262B"/>
                <w:sz w:val="19"/>
              </w:rPr>
              <w:t>Topic 01 · Reading a Pay Stub</w:t>
            </w:r>
          </w:p>
        </w:tc>
        <w:tc>
          <w:tcPr>
            <w:tcW w:type="dxa" w:w="5328"/>
            <w:tcBorders>
              <w:top w:val="single" w:sz="6" w:color="C9D6DC"/>
              <w:left w:val="single" w:sz="6" w:color="C9D6DC"/>
              <w:bottom w:val="single" w:sz="6" w:color="C9D6DC"/>
              <w:right w:val="single" w:sz="6" w:color="C9D6DC"/>
            </w:tcBorders>
          </w:tcPr>
          <w:p>
            <w:pPr>
              <w:spacing w:after="20"/>
            </w:pPr>
            <w:r>
              <w:rPr>
                <w:b w:val="0"/>
                <w:color w:val="1C262B"/>
                <w:sz w:val="19"/>
              </w:rPr>
              <w:t>§113.76(4) — Personal financial literacy — earning</w:t>
            </w:r>
          </w:p>
        </w:tc>
      </w:tr>
      <w:tr>
        <w:tc>
          <w:tcPr>
            <w:tcW w:type="dxa" w:w="4896"/>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Topic 02 · Filing a 1040 with a W-2</w:t>
            </w:r>
          </w:p>
        </w:tc>
        <w:tc>
          <w:tcPr>
            <w:tcW w:type="dxa" w:w="532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§113.76(4) — Personal financial literacy — earning</w:t>
            </w:r>
          </w:p>
        </w:tc>
      </w:tr>
      <w:tr>
        <w:tc>
          <w:tcPr>
            <w:tcW w:type="dxa" w:w="4896"/>
            <w:tcBorders>
              <w:top w:val="single" w:sz="6" w:color="C9D6DC"/>
              <w:left w:val="single" w:sz="6" w:color="C9D6DC"/>
              <w:bottom w:val="single" w:sz="6" w:color="C9D6DC"/>
              <w:right w:val="single" w:sz="6" w:color="C9D6DC"/>
            </w:tcBorders>
          </w:tcPr>
          <w:p>
            <w:pPr>
              <w:spacing w:after="20"/>
            </w:pPr>
            <w:r>
              <w:rPr>
                <w:b w:val="0"/>
                <w:color w:val="1C262B"/>
                <w:sz w:val="19"/>
              </w:rPr>
              <w:t>Topic 03 · Completing a W-4</w:t>
            </w:r>
          </w:p>
        </w:tc>
        <w:tc>
          <w:tcPr>
            <w:tcW w:type="dxa" w:w="5328"/>
            <w:tcBorders>
              <w:top w:val="single" w:sz="6" w:color="C9D6DC"/>
              <w:left w:val="single" w:sz="6" w:color="C9D6DC"/>
              <w:bottom w:val="single" w:sz="6" w:color="C9D6DC"/>
              <w:right w:val="single" w:sz="6" w:color="C9D6DC"/>
            </w:tcBorders>
          </w:tcPr>
          <w:p>
            <w:pPr>
              <w:spacing w:after="20"/>
            </w:pPr>
            <w:r>
              <w:rPr>
                <w:b w:val="0"/>
                <w:color w:val="1C262B"/>
                <w:sz w:val="19"/>
              </w:rPr>
              <w:t>§113.76(4) — Personal financial literacy — earning</w:t>
            </w:r>
          </w:p>
        </w:tc>
      </w:tr>
      <w:tr>
        <w:tc>
          <w:tcPr>
            <w:tcW w:type="dxa" w:w="4896"/>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Topic 04 · Credit Scores: the five factors</w:t>
            </w:r>
          </w:p>
        </w:tc>
        <w:tc>
          <w:tcPr>
            <w:tcW w:type="dxa" w:w="532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§113.76(7) — Personal financial literacy — credit and debt</w:t>
            </w:r>
          </w:p>
        </w:tc>
      </w:tr>
      <w:tr>
        <w:tc>
          <w:tcPr>
            <w:tcW w:type="dxa" w:w="4896"/>
            <w:tcBorders>
              <w:top w:val="single" w:sz="6" w:color="C9D6DC"/>
              <w:left w:val="single" w:sz="6" w:color="C9D6DC"/>
              <w:bottom w:val="single" w:sz="6" w:color="C9D6DC"/>
              <w:right w:val="single" w:sz="6" w:color="C9D6DC"/>
            </w:tcBorders>
          </w:tcPr>
          <w:p>
            <w:pPr>
              <w:spacing w:after="20"/>
            </w:pPr>
            <w:r>
              <w:rPr>
                <w:b w:val="0"/>
                <w:color w:val="1C262B"/>
                <w:sz w:val="19"/>
              </w:rPr>
              <w:t>Topic 05 · Credit Card Math: APR and minimum payments</w:t>
            </w:r>
          </w:p>
        </w:tc>
        <w:tc>
          <w:tcPr>
            <w:tcW w:type="dxa" w:w="5328"/>
            <w:tcBorders>
              <w:top w:val="single" w:sz="6" w:color="C9D6DC"/>
              <w:left w:val="single" w:sz="6" w:color="C9D6DC"/>
              <w:bottom w:val="single" w:sz="6" w:color="C9D6DC"/>
              <w:right w:val="single" w:sz="6" w:color="C9D6DC"/>
            </w:tcBorders>
          </w:tcPr>
          <w:p>
            <w:pPr>
              <w:spacing w:after="20"/>
            </w:pPr>
            <w:r>
              <w:rPr>
                <w:b w:val="0"/>
                <w:color w:val="1C262B"/>
                <w:sz w:val="19"/>
              </w:rPr>
              <w:t>§113.76(7) — Personal financial literacy — credit and debt</w:t>
            </w:r>
          </w:p>
        </w:tc>
      </w:tr>
      <w:tr>
        <w:tc>
          <w:tcPr>
            <w:tcW w:type="dxa" w:w="4896"/>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Topic 06 · Build a Monthly Budget</w:t>
            </w:r>
          </w:p>
        </w:tc>
        <w:tc>
          <w:tcPr>
            <w:tcW w:type="dxa" w:w="532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§113.76(6) — Personal financial literacy — spending</w:t>
            </w:r>
          </w:p>
        </w:tc>
      </w:tr>
      <w:tr>
        <w:tc>
          <w:tcPr>
            <w:tcW w:type="dxa" w:w="4896"/>
            <w:tcBorders>
              <w:top w:val="single" w:sz="6" w:color="C9D6DC"/>
              <w:left w:val="single" w:sz="6" w:color="C9D6DC"/>
              <w:bottom w:val="single" w:sz="6" w:color="C9D6DC"/>
              <w:right w:val="single" w:sz="6" w:color="C9D6DC"/>
            </w:tcBorders>
          </w:tcPr>
          <w:p>
            <w:pPr>
              <w:spacing w:after="20"/>
            </w:pPr>
            <w:r>
              <w:rPr>
                <w:b w:val="0"/>
                <w:color w:val="1C262B"/>
                <w:sz w:val="19"/>
              </w:rPr>
              <w:t>Topic 07 · Buy a Car: total cost of ownership</w:t>
            </w:r>
          </w:p>
        </w:tc>
        <w:tc>
          <w:tcPr>
            <w:tcW w:type="dxa" w:w="5328"/>
            <w:tcBorders>
              <w:top w:val="single" w:sz="6" w:color="C9D6DC"/>
              <w:left w:val="single" w:sz="6" w:color="C9D6DC"/>
              <w:bottom w:val="single" w:sz="6" w:color="C9D6DC"/>
              <w:right w:val="single" w:sz="6" w:color="C9D6DC"/>
            </w:tcBorders>
          </w:tcPr>
          <w:p>
            <w:pPr>
              <w:spacing w:after="20"/>
            </w:pPr>
            <w:r>
              <w:rPr>
                <w:b w:val="0"/>
                <w:color w:val="1C262B"/>
                <w:sz w:val="19"/>
              </w:rPr>
              <w:t>§113.76(6) — Personal financial literacy — spending</w:t>
            </w:r>
          </w:p>
        </w:tc>
      </w:tr>
      <w:tr>
        <w:tc>
          <w:tcPr>
            <w:tcW w:type="dxa" w:w="4896"/>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Topic 08 · Compound Interest and the Rule of 72</w:t>
            </w:r>
          </w:p>
        </w:tc>
        <w:tc>
          <w:tcPr>
            <w:tcW w:type="dxa" w:w="532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§113.76(8) — Personal financial literacy — saving and investing</w:t>
            </w:r>
          </w:p>
        </w:tc>
      </w:tr>
      <w:tr>
        <w:tc>
          <w:tcPr>
            <w:tcW w:type="dxa" w:w="4896"/>
            <w:tcBorders>
              <w:top w:val="single" w:sz="6" w:color="C9D6DC"/>
              <w:left w:val="single" w:sz="6" w:color="C9D6DC"/>
              <w:bottom w:val="single" w:sz="6" w:color="C9D6DC"/>
              <w:right w:val="single" w:sz="6" w:color="C9D6DC"/>
            </w:tcBorders>
          </w:tcPr>
          <w:p>
            <w:pPr>
              <w:spacing w:after="20"/>
            </w:pPr>
            <w:r>
              <w:rPr>
                <w:b w:val="0"/>
                <w:color w:val="1C262B"/>
                <w:sz w:val="19"/>
              </w:rPr>
              <w:t>Topic 09 · FAFSA and the True Cost of a Student Loan</w:t>
            </w:r>
          </w:p>
        </w:tc>
        <w:tc>
          <w:tcPr>
            <w:tcW w:type="dxa" w:w="5328"/>
            <w:tcBorders>
              <w:top w:val="single" w:sz="6" w:color="C9D6DC"/>
              <w:left w:val="single" w:sz="6" w:color="C9D6DC"/>
              <w:bottom w:val="single" w:sz="6" w:color="C9D6DC"/>
              <w:right w:val="single" w:sz="6" w:color="C9D6DC"/>
            </w:tcBorders>
          </w:tcPr>
          <w:p>
            <w:pPr>
              <w:spacing w:after="20"/>
            </w:pPr>
            <w:r>
              <w:rPr>
                <w:b w:val="0"/>
                <w:color w:val="1C262B"/>
                <w:sz w:val="19"/>
              </w:rPr>
              <w:t>§113.76(3) — Personal financial literacy — investing in education and skills</w:t>
            </w:r>
          </w:p>
        </w:tc>
      </w:tr>
      <w:tr>
        <w:tc>
          <w:tcPr>
            <w:tcW w:type="dxa" w:w="4896"/>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Topic 10 · Insurance Math</w:t>
            </w:r>
          </w:p>
        </w:tc>
        <w:tc>
          <w:tcPr>
            <w:tcW w:type="dxa" w:w="532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§113.76(9) — Personal financial literacy — protecting and insuring</w:t>
            </w:r>
          </w:p>
        </w:tc>
      </w:tr>
    </w:tbl>
    <w:p>
      <w:pPr>
        <w:spacing w:after="40"/>
      </w:pPr>
    </w:p>
    <w:p>
      <w:pPr>
        <w:spacing w:before="240" w:after="80"/>
      </w:pPr>
      <w:r>
        <w:rPr>
          <w:rFonts w:ascii="Calibri" w:hAnsi="Calibri"/>
          <w:b/>
          <w:color w:val="0F3D5C"/>
          <w:sz w:val="26"/>
        </w:rPr>
        <w:t>Other frameworks this course aligns to</w:t>
      </w:r>
    </w:p>
    <w:tbl>
      <w:tblPr>
        <w:tblW w:type="auto" w:w="0"/>
        <w:jc w:val="left"/>
        <w:tblLook w:firstColumn="1" w:firstRow="1" w:lastColumn="0" w:lastRow="0" w:noHBand="0" w:noVBand="1" w:val="04A0"/>
      </w:tblPr>
      <w:tblGrid>
        <w:gridCol w:w="5112"/>
        <w:gridCol w:w="5112"/>
      </w:tblGrid>
      <w:tr>
        <w:tc>
          <w:tcPr>
            <w:tcW w:type="dxa" w:w="4608"/>
            <w:shd w:val="clear" w:fill="EAF2F4"/>
            <w:tcBorders>
              <w:top w:val="single" w:sz="6" w:color="C9D6DC"/>
              <w:left w:val="single" w:sz="6" w:color="C9D6DC"/>
              <w:bottom w:val="single" w:sz="6" w:color="C9D6DC"/>
              <w:right w:val="single" w:sz="6" w:color="C9D6DC"/>
            </w:tcBorders>
          </w:tcPr>
          <w:p>
            <w:pPr>
              <w:spacing w:after="20"/>
            </w:pPr>
            <w:r>
              <w:rPr>
                <w:b/>
                <w:color w:val="0F3D5C"/>
                <w:sz w:val="19"/>
              </w:rPr>
              <w:t>Framework</w:t>
            </w:r>
          </w:p>
        </w:tc>
        <w:tc>
          <w:tcPr>
            <w:tcW w:type="dxa" w:w="5616"/>
            <w:shd w:val="clear" w:fill="EAF2F4"/>
            <w:tcBorders>
              <w:top w:val="single" w:sz="6" w:color="C9D6DC"/>
              <w:left w:val="single" w:sz="6" w:color="C9D6DC"/>
              <w:bottom w:val="single" w:sz="6" w:color="C9D6DC"/>
              <w:right w:val="single" w:sz="6" w:color="C9D6DC"/>
            </w:tcBorders>
          </w:tcPr>
          <w:p>
            <w:pPr>
              <w:spacing w:after="20"/>
            </w:pPr>
            <w:r>
              <w:rPr>
                <w:b/>
                <w:color w:val="0F3D5C"/>
                <w:sz w:val="19"/>
              </w:rPr>
              <w:t>Note</w:t>
            </w:r>
          </w:p>
        </w:tc>
      </w:tr>
      <w:tr>
        <w:tc>
          <w:tcPr>
            <w:tcW w:type="dxa" w:w="4608"/>
            <w:tcBorders>
              <w:top w:val="single" w:sz="6" w:color="C9D6DC"/>
              <w:left w:val="single" w:sz="6" w:color="C9D6DC"/>
              <w:bottom w:val="single" w:sz="6" w:color="C9D6DC"/>
              <w:right w:val="single" w:sz="6" w:color="C9D6DC"/>
            </w:tcBorders>
          </w:tcPr>
          <w:p>
            <w:pPr>
              <w:spacing w:after="20"/>
            </w:pPr>
            <w:r>
              <w:rPr>
                <w:b w:val="0"/>
                <w:color w:val="1C262B"/>
                <w:sz w:val="19"/>
              </w:rPr>
              <w:t>CEE / Jump$tart National Standards for Personal Financial Education, 2021</w:t>
            </w:r>
          </w:p>
        </w:tc>
        <w:tc>
          <w:tcPr>
            <w:tcW w:type="dxa" w:w="5616"/>
            <w:tcBorders>
              <w:top w:val="single" w:sz="6" w:color="C9D6DC"/>
              <w:left w:val="single" w:sz="6" w:color="C9D6DC"/>
              <w:bottom w:val="single" w:sz="6" w:color="C9D6DC"/>
              <w:right w:val="single" w:sz="6" w:color="C9D6DC"/>
            </w:tcBorders>
          </w:tcPr>
          <w:p>
            <w:pPr>
              <w:spacing w:after="20"/>
            </w:pPr>
            <w:r>
              <w:rPr>
                <w:b w:val="0"/>
                <w:color w:val="1C262B"/>
                <w:sz w:val="19"/>
              </w:rPr>
              <w:t>All six topic areas: Earning Income, Spending, Saving, Investing, Managing Credit, Managing Risk</w:t>
            </w:r>
          </w:p>
        </w:tc>
      </w:tr>
      <w:tr>
        <w:tc>
          <w:tcPr>
            <w:tcW w:type="dxa" w:w="460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Pennsylvania Academic Standards for Personal Finance (17.1–17.6)</w:t>
            </w:r>
          </w:p>
        </w:tc>
        <w:tc>
          <w:tcPr>
            <w:tcW w:type="dxa" w:w="5616"/>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Effective 1 July 2026. Mapped per lesson.</w:t>
            </w:r>
          </w:p>
        </w:tc>
      </w:tr>
      <w:tr>
        <w:tc>
          <w:tcPr>
            <w:tcW w:type="dxa" w:w="4608"/>
            <w:tcBorders>
              <w:top w:val="single" w:sz="6" w:color="C9D6DC"/>
              <w:left w:val="single" w:sz="6" w:color="C9D6DC"/>
              <w:bottom w:val="single" w:sz="6" w:color="C9D6DC"/>
              <w:right w:val="single" w:sz="6" w:color="C9D6DC"/>
            </w:tcBorders>
          </w:tcPr>
          <w:p>
            <w:pPr>
              <w:spacing w:after="20"/>
            </w:pPr>
            <w:r>
              <w:rPr>
                <w:b w:val="0"/>
                <w:color w:val="1C262B"/>
                <w:sz w:val="19"/>
              </w:rPr>
              <w:t>Florida SS.912.FL</w:t>
            </w:r>
          </w:p>
        </w:tc>
        <w:tc>
          <w:tcPr>
            <w:tcW w:type="dxa" w:w="5616"/>
            <w:tcBorders>
              <w:top w:val="single" w:sz="6" w:color="C9D6DC"/>
              <w:left w:val="single" w:sz="6" w:color="C9D6DC"/>
              <w:bottom w:val="single" w:sz="6" w:color="C9D6DC"/>
              <w:right w:val="single" w:sz="6" w:color="C9D6DC"/>
            </w:tcBorders>
          </w:tcPr>
          <w:p>
            <w:pPr>
              <w:spacing w:after="20"/>
            </w:pPr>
            <w:r>
              <w:rPr>
                <w:b w:val="0"/>
                <w:color w:val="1C262B"/>
                <w:sz w:val="19"/>
              </w:rPr>
              <w:t>All seven standards</w:t>
            </w:r>
          </w:p>
        </w:tc>
      </w:tr>
      <w:tr>
        <w:tc>
          <w:tcPr>
            <w:tcW w:type="dxa" w:w="460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NBEA National Standards for Business Education, 2020</w:t>
            </w:r>
          </w:p>
        </w:tc>
        <w:tc>
          <w:tcPr>
            <w:tcW w:type="dxa" w:w="5616"/>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Personal Finance content area</w:t>
            </w:r>
          </w:p>
        </w:tc>
      </w:tr>
      <w:tr>
        <w:tc>
          <w:tcPr>
            <w:tcW w:type="dxa" w:w="4608"/>
            <w:tcBorders>
              <w:top w:val="single" w:sz="6" w:color="C9D6DC"/>
              <w:left w:val="single" w:sz="6" w:color="C9D6DC"/>
              <w:bottom w:val="single" w:sz="6" w:color="C9D6DC"/>
              <w:right w:val="single" w:sz="6" w:color="C9D6DC"/>
            </w:tcBorders>
          </w:tcPr>
          <w:p>
            <w:pPr>
              <w:spacing w:after="20"/>
            </w:pPr>
            <w:r>
              <w:rPr>
                <w:b w:val="0"/>
                <w:color w:val="1C262B"/>
                <w:sz w:val="19"/>
              </w:rPr>
              <w:t>19 TAC §113.76</w:t>
            </w:r>
          </w:p>
        </w:tc>
        <w:tc>
          <w:tcPr>
            <w:tcW w:type="dxa" w:w="5616"/>
            <w:tcBorders>
              <w:top w:val="single" w:sz="6" w:color="C9D6DC"/>
              <w:left w:val="single" w:sz="6" w:color="C9D6DC"/>
              <w:bottom w:val="single" w:sz="6" w:color="C9D6DC"/>
              <w:right w:val="single" w:sz="6" w:color="C9D6DC"/>
            </w:tcBorders>
          </w:tcPr>
          <w:p>
            <w:pPr>
              <w:spacing w:after="20"/>
            </w:pPr>
            <w:r>
              <w:rPr>
                <w:b w:val="0"/>
                <w:color w:val="1C262B"/>
                <w:sz w:val="19"/>
              </w:rPr>
              <w:t>Texas, prior cohort — mapped above</w:t>
            </w:r>
          </w:p>
        </w:tc>
      </w:tr>
    </w:tbl>
    <w:p>
      <w:pPr>
        <w:spacing w:after="40"/>
      </w:pPr>
    </w:p>
    <w:p>
      <w:r>
        <w:br w:type="page"/>
      </w:r>
    </w:p>
    <w:p>
      <w:pPr>
        <w:spacing w:before="0" w:after="80"/>
      </w:pPr>
      <w:r>
        <w:rPr>
          <w:rFonts w:ascii="Calibri" w:hAnsi="Calibri"/>
          <w:b/>
          <w:color w:val="0F3D5C"/>
          <w:sz w:val="26"/>
        </w:rPr>
        <w:t>What the full course contains</w:t>
      </w:r>
    </w:p>
    <w:p>
      <w:pPr>
        <w:spacing w:after="120"/>
      </w:pPr>
      <w:r>
        <w:rPr>
          <w:b w:val="0"/>
          <w:i/>
          <w:color w:val="5C6B73"/>
          <w:sz w:val="21"/>
        </w:rPr>
        <w:t>This document is free and complete on its own. If it is useful, the course it describes is built the same way.</w:t>
      </w:r>
    </w:p>
    <w:tbl>
      <w:tblPr>
        <w:tblW w:type="auto" w:w="0"/>
        <w:jc w:val="left"/>
        <w:tblLook w:firstColumn="1" w:firstRow="1" w:lastColumn="0" w:lastRow="0" w:noHBand="0" w:noVBand="1" w:val="04A0"/>
      </w:tblPr>
      <w:tblGrid>
        <w:gridCol w:w="5112"/>
        <w:gridCol w:w="5112"/>
      </w:tblGrid>
      <w:tr>
        <w:tc>
          <w:tcPr>
            <w:tcW w:type="dxa" w:w="2736"/>
            <w:shd w:val="clear" w:fill="EAF2F4"/>
            <w:tcBorders>
              <w:top w:val="single" w:sz="6" w:color="C9D6DC"/>
              <w:left w:val="single" w:sz="6" w:color="C9D6DC"/>
              <w:bottom w:val="single" w:sz="6" w:color="C9D6DC"/>
              <w:right w:val="single" w:sz="6" w:color="C9D6DC"/>
            </w:tcBorders>
          </w:tcPr>
          <w:p>
            <w:pPr>
              <w:spacing w:after="20"/>
            </w:pPr>
            <w:r>
              <w:rPr>
                <w:b/>
                <w:color w:val="0F3D5C"/>
                <w:sz w:val="20"/>
              </w:rPr>
              <w:t>Every unit includes</w:t>
            </w:r>
          </w:p>
        </w:tc>
        <w:tc>
          <w:tcPr>
            <w:tcW w:type="dxa" w:w="7488"/>
            <w:shd w:val="clear" w:fill="EAF2F4"/>
            <w:tcBorders>
              <w:top w:val="single" w:sz="6" w:color="C9D6DC"/>
              <w:left w:val="single" w:sz="6" w:color="C9D6DC"/>
              <w:bottom w:val="single" w:sz="6" w:color="C9D6DC"/>
              <w:right w:val="single" w:sz="6" w:color="C9D6DC"/>
            </w:tcBorders>
          </w:tcPr>
          <w:p>
            <w:pPr>
              <w:spacing w:after="20"/>
            </w:pPr>
            <w:r>
              <w:rPr>
                <w:b/>
                <w:color w:val="0F3D5C"/>
                <w:sz w:val="20"/>
              </w:rPr>
              <w:t>What it is</w:t>
            </w:r>
          </w:p>
        </w:tc>
      </w:tr>
      <w:tr>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Slides</w:t>
            </w:r>
          </w:p>
        </w:tc>
        <w:tc>
          <w:tcPr>
            <w:tcW w:type="dxa" w:w="7488"/>
            <w:tcBorders>
              <w:top w:val="single" w:sz="6" w:color="C9D6DC"/>
              <w:left w:val="single" w:sz="6" w:color="C9D6DC"/>
              <w:bottom w:val="single" w:sz="6" w:color="C9D6DC"/>
              <w:right w:val="single" w:sz="6" w:color="C9D6DC"/>
            </w:tcBorders>
          </w:tcPr>
          <w:p>
            <w:pPr>
              <w:spacing w:after="20"/>
            </w:pPr>
            <w:r>
              <w:rPr>
                <w:b w:val="0"/>
                <w:color w:val="1C262B"/>
                <w:sz w:val="20"/>
              </w:rPr>
              <w:t>Teaching sequence with read-aloud teacher script in every speaker note</w:t>
            </w:r>
          </w:p>
        </w:tc>
      </w:tr>
      <w:tr>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Guided notes, two levels</w:t>
            </w:r>
          </w:p>
        </w:tc>
        <w:tc>
          <w:tcPr>
            <w:tcW w:type="dxa" w:w="748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Standard and scaffolded, so one lesson serves the whole room</w:t>
            </w:r>
          </w:p>
        </w:tc>
      </w:tr>
      <w:tr>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Print student packet</w:t>
            </w:r>
          </w:p>
        </w:tc>
        <w:tc>
          <w:tcPr>
            <w:tcW w:type="dxa" w:w="7488"/>
            <w:tcBorders>
              <w:top w:val="single" w:sz="6" w:color="C9D6DC"/>
              <w:left w:val="single" w:sz="6" w:color="C9D6DC"/>
              <w:bottom w:val="single" w:sz="6" w:color="C9D6DC"/>
              <w:right w:val="single" w:sz="6" w:color="C9D6DC"/>
            </w:tcBorders>
          </w:tcPr>
          <w:p>
            <w:pPr>
              <w:spacing w:after="20"/>
            </w:pPr>
            <w:r>
              <w:rPr>
                <w:b w:val="0"/>
                <w:color w:val="1C262B"/>
                <w:sz w:val="20"/>
              </w:rPr>
              <w:t>The unit as a consumable booklet. No device required.</w:t>
            </w:r>
          </w:p>
        </w:tc>
      </w:tr>
      <w:tr>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No-device station activity</w:t>
            </w:r>
          </w:p>
        </w:tc>
        <w:tc>
          <w:tcPr>
            <w:tcW w:type="dxa" w:w="748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Groups diagnose or correct a realistic document</w:t>
            </w:r>
          </w:p>
        </w:tc>
      </w:tr>
      <w:tr>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Emergency sub day</w:t>
            </w:r>
          </w:p>
        </w:tc>
        <w:tc>
          <w:tcPr>
            <w:tcW w:type="dxa" w:w="7488"/>
            <w:tcBorders>
              <w:top w:val="single" w:sz="6" w:color="C9D6DC"/>
              <w:left w:val="single" w:sz="6" w:color="C9D6DC"/>
              <w:bottom w:val="single" w:sz="6" w:color="C9D6DC"/>
              <w:right w:val="single" w:sz="6" w:color="C9D6DC"/>
            </w:tcBorders>
          </w:tcPr>
          <w:p>
            <w:pPr>
              <w:spacing w:after="20"/>
            </w:pPr>
            <w:r>
              <w:rPr>
                <w:b w:val="0"/>
                <w:color w:val="1C262B"/>
                <w:sz w:val="20"/>
              </w:rPr>
              <w:t>One self-contained period any adult can run cold</w:t>
            </w:r>
          </w:p>
        </w:tc>
      </w:tr>
      <w:tr>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Quiz A and Quiz B</w:t>
            </w:r>
          </w:p>
        </w:tc>
        <w:tc>
          <w:tcPr>
            <w:tcW w:type="dxa" w:w="748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Two versions on the same blueprint, both editable</w:t>
            </w:r>
          </w:p>
        </w:tc>
      </w:tr>
      <w:tr>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Complete answer keys</w:t>
            </w:r>
          </w:p>
        </w:tc>
        <w:tc>
          <w:tcPr>
            <w:tcW w:type="dxa" w:w="7488"/>
            <w:tcBorders>
              <w:top w:val="single" w:sz="6" w:color="C9D6DC"/>
              <w:left w:val="single" w:sz="6" w:color="C9D6DC"/>
              <w:bottom w:val="single" w:sz="6" w:color="C9D6DC"/>
              <w:right w:val="single" w:sz="6" w:color="C9D6DC"/>
            </w:tcBorders>
          </w:tcPr>
          <w:p>
            <w:pPr>
              <w:spacing w:after="20"/>
            </w:pPr>
            <w:r>
              <w:rPr>
                <w:b w:val="0"/>
                <w:color w:val="1C262B"/>
                <w:sz w:val="20"/>
              </w:rPr>
              <w:t>In the download. No account, no portal, no waiting.</w:t>
            </w:r>
          </w:p>
        </w:tc>
      </w:tr>
      <w:tr>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Teacher primer</w:t>
            </w:r>
          </w:p>
        </w:tc>
        <w:tc>
          <w:tcPr>
            <w:tcW w:type="dxa" w:w="748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What to know before you teach it, and the questions students ask</w:t>
            </w:r>
          </w:p>
        </w:tc>
      </w:tr>
      <w:tr>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Vocabulary</w:t>
            </w:r>
          </w:p>
        </w:tc>
        <w:tc>
          <w:tcPr>
            <w:tcW w:type="dxa" w:w="7488"/>
            <w:tcBorders>
              <w:top w:val="single" w:sz="6" w:color="C9D6DC"/>
              <w:left w:val="single" w:sz="6" w:color="C9D6DC"/>
              <w:bottom w:val="single" w:sz="6" w:color="C9D6DC"/>
              <w:right w:val="single" w:sz="6" w:color="C9D6DC"/>
            </w:tcBorders>
          </w:tcPr>
          <w:p>
            <w:pPr>
              <w:spacing w:after="20"/>
            </w:pPr>
            <w:r>
              <w:rPr>
                <w:b w:val="0"/>
                <w:color w:val="1C262B"/>
                <w:sz w:val="20"/>
              </w:rPr>
              <w:t>Reference sheet and a fill-in student version</w:t>
            </w:r>
          </w:p>
        </w:tc>
      </w:tr>
      <w:tr>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Standards alignment page</w:t>
            </w:r>
          </w:p>
        </w:tc>
        <w:tc>
          <w:tcPr>
            <w:tcW w:type="dxa" w:w="748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Cites §113.26 by code, for a department chair or an administrator</w:t>
            </w:r>
          </w:p>
        </w:tc>
      </w:tr>
    </w:tbl>
    <w:p>
      <w:pPr>
        <w:spacing w:after="40"/>
      </w:pPr>
    </w:p>
    <w:p>
      <w:pPr>
        <w:spacing w:before="200" w:after="60"/>
      </w:pPr>
      <w:r>
        <w:rPr>
          <w:b/>
          <w:color w:val="12796B"/>
          <w:sz w:val="23"/>
        </w:rPr>
        <w:t>Four things this course does that most do not</w:t>
      </w:r>
    </w:p>
    <w:p>
      <w:pPr>
        <w:pStyle w:val="ListBullet"/>
        <w:spacing w:after="60"/>
      </w:pPr>
      <w:r>
        <w:rPr>
          <w:rFonts w:ascii="Calibri" w:hAnsi="Calibri"/>
          <w:color w:val="1C262B"/>
          <w:sz w:val="21"/>
        </w:rPr>
        <w:t>Everything ships as an editable .docx and .pptx, not a locked PDF or a view-only link.</w:t>
      </w:r>
    </w:p>
    <w:p>
      <w:pPr>
        <w:pStyle w:val="ListBullet"/>
        <w:spacing w:after="60"/>
      </w:pPr>
      <w:r>
        <w:rPr>
          <w:rFonts w:ascii="Calibri" w:hAnsi="Calibri"/>
          <w:color w:val="1C262B"/>
          <w:sz w:val="21"/>
        </w:rPr>
        <w:t>Every lesson prints. Nothing requires a device, a login, or an internet connection.</w:t>
      </w:r>
    </w:p>
    <w:p>
      <w:pPr>
        <w:pStyle w:val="ListBullet"/>
        <w:spacing w:after="60"/>
      </w:pPr>
      <w:r>
        <w:rPr>
          <w:rFonts w:ascii="Calibri" w:hAnsi="Calibri"/>
          <w:color w:val="1C262B"/>
          <w:sz w:val="21"/>
        </w:rPr>
        <w:t>Answer keys are in the file. There is no account to verify and no wait.</w:t>
      </w:r>
    </w:p>
    <w:p>
      <w:pPr>
        <w:pStyle w:val="ListBullet"/>
        <w:spacing w:after="60"/>
      </w:pPr>
      <w:r>
        <w:rPr>
          <w:rFonts w:ascii="Calibri" w:hAnsi="Calibri"/>
          <w:color w:val="1C262B"/>
          <w:sz w:val="21"/>
        </w:rPr>
        <w:t>Every unit has a no-prep, no-tech emergency sub day — which, as far as we can find, no other personal finance curriculum provides.</w:t>
      </w:r>
    </w:p>
    <w:p>
      <w:pPr>
        <w:spacing w:before="200" w:after="60"/>
      </w:pPr>
      <w:r>
        <w:rPr>
          <w:b/>
          <w:color w:val="12796B"/>
          <w:sz w:val="23"/>
        </w:rPr>
        <w:t>Figures and currency</w:t>
      </w:r>
    </w:p>
    <w:p>
      <w:pPr>
        <w:spacing w:after="120"/>
      </w:pPr>
      <w:r>
        <w:rPr>
          <w:b w:val="0"/>
          <w:i w:val="0"/>
          <w:color w:val="1C262B"/>
          <w:sz w:val="21"/>
        </w:rPr>
        <w:t>Every tax figure, rate and limit is dated to tax year 2026 and verified against the IRS, the Department of Education, HHS and the Texas Comptroller. The course is refreshed each January when the new figures publish.</w:t>
      </w:r>
    </w:p>
    <w:p/>
    <w:tbl>
      <w:tblPr>
        <w:tblW w:type="auto" w:w="0"/>
        <w:jc w:val="left"/>
        <w:tblLook w:firstColumn="1" w:firstRow="1" w:lastColumn="0" w:lastRow="0" w:noHBand="0" w:noVBand="1" w:val="04A0"/>
      </w:tblPr>
      <w:tblGrid>
        <w:gridCol w:w="10224"/>
      </w:tblGrid>
      <w:tr>
        <w:tc>
          <w:tcPr>
            <w:tcW w:type="dxa" w:w="10224"/>
            <w:shd w:val="clear" w:fill="EAF2F4"/>
            <w:tcBorders>
              <w:top w:val="single" w:sz="6" w:color="C9D6DC"/>
              <w:left w:val="single" w:sz="6" w:color="C9D6DC"/>
              <w:bottom w:val="single" w:sz="6" w:color="C9D6DC"/>
              <w:right w:val="single" w:sz="6" w:color="C9D6DC"/>
            </w:tcBorders>
          </w:tcPr>
          <w:p>
            <w:pPr>
              <w:spacing w:after="60"/>
            </w:pPr>
            <w:r/>
            <w:r>
              <w:rPr>
                <w:b/>
                <w:color w:val="0F3D5C"/>
                <w:sz w:val="21"/>
              </w:rPr>
              <w:t>Effortless Math · Applied Personal Finance</w:t>
            </w:r>
          </w:p>
          <w:p>
            <w:pPr>
              <w:spacing w:after="40"/>
            </w:pPr>
            <w:r>
              <w:rPr>
                <w:color w:val="1C262B"/>
                <w:sz w:val="21"/>
              </w:rPr>
              <w:t>Built by a teacher, tested in a classroom, and written so that someone who has never taught personal finance can walk in and teach it well.</w:t>
            </w:r>
          </w:p>
          <w:p>
            <w:pPr>
              <w:spacing w:after="40"/>
            </w:pPr>
            <w:r>
              <w:rPr>
                <w:color w:val="1C262B"/>
                <w:sz w:val="21"/>
              </w:rPr>
              <w:t>Questions, corrections and requests are genuinely welcome.</w:t>
            </w:r>
          </w:p>
        </w:tc>
      </w:tr>
    </w:tbl>
    <w:p>
      <w:pPr>
        <w:spacing w:after="40"/>
      </w:pPr>
    </w:p>
    <w:sectPr w:rsidR="00FC693F" w:rsidRPr="0006063C" w:rsidSect="00034616">
      <w:footerReference w:type="default" r:id="rId9"/>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C6B73"/>
        <w:sz w:val="16"/>
      </w:rPr>
      <w:t>Effortless Math · Applied Personal Finance · Texas §113.26 Crosswalk · free resource · figures verified for tax year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1C26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