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12796B"/>
          <w:sz w:val="20"/>
        </w:rPr>
        <w:t>EFFORTLESS MATH · FREE RESOURCE</w:t>
      </w:r>
    </w:p>
    <w:p>
      <w:pPr>
        <w:spacing w:after="80"/>
      </w:pPr>
      <w:r>
        <w:rPr>
          <w:b/>
          <w:color w:val="0F3D5C"/>
          <w:sz w:val="52"/>
        </w:rPr>
        <w:t>Scope and Sequence</w:t>
      </w:r>
    </w:p>
    <w:p>
      <w:pPr>
        <w:spacing w:after="200"/>
      </w:pPr>
      <w:r>
        <w:rPr>
          <w:color w:val="5C6B73"/>
          <w:sz w:val="26"/>
        </w:rPr>
        <w:t>Applied Personal Finance · 90 days · ten units · one half credit</w:t>
      </w:r>
    </w:p>
    <w:p>
      <w:pPr>
        <w:spacing w:before="40" w:after="160"/>
        <w:pBdr>
          <w:bottom w:val="single" w:sz="8" w:space="1" w:color="C9D6DC"/>
        </w:pBdr>
      </w:pPr>
    </w:p>
    <w:p>
      <w:pPr>
        <w:spacing w:after="120"/>
      </w:pPr>
      <w:r>
        <w:rPr>
          <w:b w:val="0"/>
          <w:i w:val="0"/>
          <w:color w:val="1C262B"/>
          <w:sz w:val="22"/>
        </w:rPr>
        <w:t>A complete semester of personal finance, unit by unit, with day counts, the skills taught in each unit, and what gets assessed. Built against Texas §113.26 and mapped to the CEE and Jump$tart national standards. Free to use, adapt and share with your department.</w:t>
      </w:r>
    </w:p>
    <w:p>
      <w:pPr>
        <w:spacing w:before="240" w:after="80"/>
      </w:pPr>
      <w:r>
        <w:rPr>
          <w:rFonts w:ascii="Calibri" w:hAnsi="Calibri"/>
          <w:b/>
          <w:color w:val="0F3D5C"/>
          <w:sz w:val="26"/>
        </w:rPr>
        <w:t>The semester at a glance</w:t>
      </w:r>
    </w:p>
    <w:tbl>
      <w:tblPr>
        <w:tblW w:type="auto" w:w="0"/>
        <w:jc w:val="left"/>
        <w:tblLook w:firstColumn="1" w:firstRow="1" w:lastColumn="0" w:lastRow="0" w:noHBand="0" w:noVBand="1" w:val="04A0"/>
      </w:tblPr>
      <w:tblGrid>
        <w:gridCol w:w="2556"/>
        <w:gridCol w:w="2556"/>
        <w:gridCol w:w="2556"/>
        <w:gridCol w:w="2556"/>
      </w:tblGrid>
      <w:tr>
        <w:tc>
          <w:tcPr>
            <w:tcW w:type="dxa" w:w="864"/>
            <w:shd w:val="clear" w:fill="EAF2F4"/>
            <w:tcBorders>
              <w:top w:val="single" w:sz="6" w:color="C9D6DC"/>
              <w:left w:val="single" w:sz="6" w:color="C9D6DC"/>
              <w:bottom w:val="single" w:sz="6" w:color="C9D6DC"/>
              <w:right w:val="single" w:sz="6" w:color="C9D6DC"/>
            </w:tcBorders>
          </w:tcPr>
          <w:p>
            <w:pPr>
              <w:spacing w:after="20"/>
            </w:pPr>
            <w:r>
              <w:rPr>
                <w:b/>
                <w:color w:val="0F3D5C"/>
                <w:sz w:val="20"/>
              </w:rPr>
              <w:t>Unit</w:t>
            </w:r>
          </w:p>
        </w:tc>
        <w:tc>
          <w:tcPr>
            <w:tcW w:type="dxa" w:w="5616"/>
            <w:shd w:val="clear" w:fill="EAF2F4"/>
            <w:tcBorders>
              <w:top w:val="single" w:sz="6" w:color="C9D6DC"/>
              <w:left w:val="single" w:sz="6" w:color="C9D6DC"/>
              <w:bottom w:val="single" w:sz="6" w:color="C9D6DC"/>
              <w:right w:val="single" w:sz="6" w:color="C9D6DC"/>
            </w:tcBorders>
          </w:tcPr>
          <w:p>
            <w:pPr>
              <w:spacing w:after="20"/>
            </w:pPr>
            <w:r>
              <w:rPr>
                <w:b/>
                <w:color w:val="0F3D5C"/>
                <w:sz w:val="20"/>
              </w:rPr>
              <w:t>Title</w:t>
            </w:r>
          </w:p>
        </w:tc>
        <w:tc>
          <w:tcPr>
            <w:tcW w:type="dxa" w:w="1152"/>
            <w:shd w:val="clear" w:fill="EAF2F4"/>
            <w:tcBorders>
              <w:top w:val="single" w:sz="6" w:color="C9D6DC"/>
              <w:left w:val="single" w:sz="6" w:color="C9D6DC"/>
              <w:bottom w:val="single" w:sz="6" w:color="C9D6DC"/>
              <w:right w:val="single" w:sz="6" w:color="C9D6DC"/>
            </w:tcBorders>
          </w:tcPr>
          <w:p>
            <w:pPr>
              <w:spacing w:after="20"/>
            </w:pPr>
            <w:r>
              <w:rPr>
                <w:b/>
                <w:color w:val="0F3D5C"/>
                <w:sz w:val="20"/>
              </w:rPr>
              <w:t>Days</w:t>
            </w:r>
          </w:p>
        </w:tc>
        <w:tc>
          <w:tcPr>
            <w:tcW w:type="dxa" w:w="2592"/>
            <w:shd w:val="clear" w:fill="EAF2F4"/>
            <w:tcBorders>
              <w:top w:val="single" w:sz="6" w:color="C9D6DC"/>
              <w:left w:val="single" w:sz="6" w:color="C9D6DC"/>
              <w:bottom w:val="single" w:sz="6" w:color="C9D6DC"/>
              <w:right w:val="single" w:sz="6" w:color="C9D6DC"/>
            </w:tcBorders>
          </w:tcPr>
          <w:p>
            <w:pPr>
              <w:spacing w:after="20"/>
            </w:pPr>
            <w:r>
              <w:rPr>
                <w:b/>
                <w:color w:val="0F3D5C"/>
                <w:sz w:val="20"/>
              </w:rPr>
              <w:t>Running total</w:t>
            </w:r>
          </w:p>
        </w:tc>
      </w:tr>
      <w:tr>
        <w:tc>
          <w:tcPr>
            <w:tcW w:type="dxa" w:w="864"/>
            <w:tcBorders>
              <w:top w:val="single" w:sz="6" w:color="C9D6DC"/>
              <w:left w:val="single" w:sz="6" w:color="C9D6DC"/>
              <w:bottom w:val="single" w:sz="6" w:color="C9D6DC"/>
              <w:right w:val="single" w:sz="6" w:color="C9D6DC"/>
            </w:tcBorders>
          </w:tcPr>
          <w:p>
            <w:pPr>
              <w:spacing w:after="20"/>
            </w:pPr>
            <w:r>
              <w:rPr>
                <w:b w:val="0"/>
                <w:color w:val="1C262B"/>
                <w:sz w:val="20"/>
              </w:rPr>
              <w:t>1</w:t>
            </w:r>
          </w:p>
        </w:tc>
        <w:tc>
          <w:tcPr>
            <w:tcW w:type="dxa" w:w="5616"/>
            <w:tcBorders>
              <w:top w:val="single" w:sz="6" w:color="C9D6DC"/>
              <w:left w:val="single" w:sz="6" w:color="C9D6DC"/>
              <w:bottom w:val="single" w:sz="6" w:color="C9D6DC"/>
              <w:right w:val="single" w:sz="6" w:color="C9D6DC"/>
            </w:tcBorders>
          </w:tcPr>
          <w:p>
            <w:pPr>
              <w:spacing w:after="20"/>
            </w:pPr>
            <w:r>
              <w:rPr>
                <w:b w:val="0"/>
                <w:color w:val="1C262B"/>
                <w:sz w:val="20"/>
              </w:rPr>
              <w:t>Economic Foundations and Decision-Making</w:t>
            </w:r>
          </w:p>
        </w:tc>
        <w:tc>
          <w:tcPr>
            <w:tcW w:type="dxa" w:w="1152"/>
            <w:tcBorders>
              <w:top w:val="single" w:sz="6" w:color="C9D6DC"/>
              <w:left w:val="single" w:sz="6" w:color="C9D6DC"/>
              <w:bottom w:val="single" w:sz="6" w:color="C9D6DC"/>
              <w:right w:val="single" w:sz="6" w:color="C9D6DC"/>
            </w:tcBorders>
          </w:tcPr>
          <w:p>
            <w:pPr>
              <w:spacing w:after="20"/>
            </w:pPr>
            <w:r>
              <w:rPr>
                <w:b w:val="0"/>
                <w:color w:val="1C262B"/>
                <w:sz w:val="20"/>
              </w:rPr>
              <w:t>7</w:t>
            </w:r>
          </w:p>
        </w:tc>
        <w:tc>
          <w:tcPr>
            <w:tcW w:type="dxa" w:w="2592"/>
            <w:tcBorders>
              <w:top w:val="single" w:sz="6" w:color="C9D6DC"/>
              <w:left w:val="single" w:sz="6" w:color="C9D6DC"/>
              <w:bottom w:val="single" w:sz="6" w:color="C9D6DC"/>
              <w:right w:val="single" w:sz="6" w:color="C9D6DC"/>
            </w:tcBorders>
          </w:tcPr>
          <w:p>
            <w:pPr>
              <w:spacing w:after="20"/>
            </w:pPr>
            <w:r>
              <w:rPr>
                <w:b w:val="0"/>
                <w:color w:val="1C262B"/>
                <w:sz w:val="20"/>
              </w:rPr>
              <w:t>7</w:t>
            </w:r>
          </w:p>
        </w:tc>
      </w:tr>
      <w:tr>
        <w:tc>
          <w:tcPr>
            <w:tcW w:type="dxa" w:w="864"/>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2</w:t>
            </w:r>
          </w:p>
        </w:tc>
        <w:tc>
          <w:tcPr>
            <w:tcW w:type="dxa" w:w="5616"/>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Careers, Education and Earning Potential</w:t>
            </w:r>
          </w:p>
        </w:tc>
        <w:tc>
          <w:tcPr>
            <w:tcW w:type="dxa" w:w="1152"/>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8</w:t>
            </w:r>
          </w:p>
        </w:tc>
        <w:tc>
          <w:tcPr>
            <w:tcW w:type="dxa" w:w="2592"/>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15</w:t>
            </w:r>
          </w:p>
        </w:tc>
      </w:tr>
      <w:tr>
        <w:tc>
          <w:tcPr>
            <w:tcW w:type="dxa" w:w="864"/>
            <w:tcBorders>
              <w:top w:val="single" w:sz="6" w:color="C9D6DC"/>
              <w:left w:val="single" w:sz="6" w:color="C9D6DC"/>
              <w:bottom w:val="single" w:sz="6" w:color="C9D6DC"/>
              <w:right w:val="single" w:sz="6" w:color="C9D6DC"/>
            </w:tcBorders>
          </w:tcPr>
          <w:p>
            <w:pPr>
              <w:spacing w:after="20"/>
            </w:pPr>
            <w:r>
              <w:rPr>
                <w:b w:val="0"/>
                <w:color w:val="1C262B"/>
                <w:sz w:val="20"/>
              </w:rPr>
              <w:t>3</w:t>
            </w:r>
          </w:p>
        </w:tc>
        <w:tc>
          <w:tcPr>
            <w:tcW w:type="dxa" w:w="5616"/>
            <w:tcBorders>
              <w:top w:val="single" w:sz="6" w:color="C9D6DC"/>
              <w:left w:val="single" w:sz="6" w:color="C9D6DC"/>
              <w:bottom w:val="single" w:sz="6" w:color="C9D6DC"/>
              <w:right w:val="single" w:sz="6" w:color="C9D6DC"/>
            </w:tcBorders>
          </w:tcPr>
          <w:p>
            <w:pPr>
              <w:spacing w:after="20"/>
            </w:pPr>
            <w:r>
              <w:rPr>
                <w:b w:val="0"/>
                <w:color w:val="1C262B"/>
                <w:sz w:val="20"/>
              </w:rPr>
              <w:t>Earning Income, Paychecks and Taxes</w:t>
            </w:r>
          </w:p>
        </w:tc>
        <w:tc>
          <w:tcPr>
            <w:tcW w:type="dxa" w:w="1152"/>
            <w:tcBorders>
              <w:top w:val="single" w:sz="6" w:color="C9D6DC"/>
              <w:left w:val="single" w:sz="6" w:color="C9D6DC"/>
              <w:bottom w:val="single" w:sz="6" w:color="C9D6DC"/>
              <w:right w:val="single" w:sz="6" w:color="C9D6DC"/>
            </w:tcBorders>
          </w:tcPr>
          <w:p>
            <w:pPr>
              <w:spacing w:after="20"/>
            </w:pPr>
            <w:r>
              <w:rPr>
                <w:b w:val="0"/>
                <w:color w:val="1C262B"/>
                <w:sz w:val="20"/>
              </w:rPr>
              <w:t>11</w:t>
            </w:r>
          </w:p>
        </w:tc>
        <w:tc>
          <w:tcPr>
            <w:tcW w:type="dxa" w:w="2592"/>
            <w:tcBorders>
              <w:top w:val="single" w:sz="6" w:color="C9D6DC"/>
              <w:left w:val="single" w:sz="6" w:color="C9D6DC"/>
              <w:bottom w:val="single" w:sz="6" w:color="C9D6DC"/>
              <w:right w:val="single" w:sz="6" w:color="C9D6DC"/>
            </w:tcBorders>
          </w:tcPr>
          <w:p>
            <w:pPr>
              <w:spacing w:after="20"/>
            </w:pPr>
            <w:r>
              <w:rPr>
                <w:b w:val="0"/>
                <w:color w:val="1C262B"/>
                <w:sz w:val="20"/>
              </w:rPr>
              <w:t>26</w:t>
            </w:r>
          </w:p>
        </w:tc>
      </w:tr>
      <w:tr>
        <w:tc>
          <w:tcPr>
            <w:tcW w:type="dxa" w:w="864"/>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4</w:t>
            </w:r>
          </w:p>
        </w:tc>
        <w:tc>
          <w:tcPr>
            <w:tcW w:type="dxa" w:w="5616"/>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Budgeting and Money Management</w:t>
            </w:r>
          </w:p>
        </w:tc>
        <w:tc>
          <w:tcPr>
            <w:tcW w:type="dxa" w:w="1152"/>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10</w:t>
            </w:r>
          </w:p>
        </w:tc>
        <w:tc>
          <w:tcPr>
            <w:tcW w:type="dxa" w:w="2592"/>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36</w:t>
            </w:r>
          </w:p>
        </w:tc>
      </w:tr>
      <w:tr>
        <w:tc>
          <w:tcPr>
            <w:tcW w:type="dxa" w:w="864"/>
            <w:tcBorders>
              <w:top w:val="single" w:sz="6" w:color="C9D6DC"/>
              <w:left w:val="single" w:sz="6" w:color="C9D6DC"/>
              <w:bottom w:val="single" w:sz="6" w:color="C9D6DC"/>
              <w:right w:val="single" w:sz="6" w:color="C9D6DC"/>
            </w:tcBorders>
          </w:tcPr>
          <w:p>
            <w:pPr>
              <w:spacing w:after="20"/>
            </w:pPr>
            <w:r>
              <w:rPr>
                <w:b w:val="0"/>
                <w:color w:val="1C262B"/>
                <w:sz w:val="20"/>
              </w:rPr>
              <w:t>5</w:t>
            </w:r>
          </w:p>
        </w:tc>
        <w:tc>
          <w:tcPr>
            <w:tcW w:type="dxa" w:w="5616"/>
            <w:tcBorders>
              <w:top w:val="single" w:sz="6" w:color="C9D6DC"/>
              <w:left w:val="single" w:sz="6" w:color="C9D6DC"/>
              <w:bottom w:val="single" w:sz="6" w:color="C9D6DC"/>
              <w:right w:val="single" w:sz="6" w:color="C9D6DC"/>
            </w:tcBorders>
          </w:tcPr>
          <w:p>
            <w:pPr>
              <w:spacing w:after="20"/>
            </w:pPr>
            <w:r>
              <w:rPr>
                <w:b w:val="0"/>
                <w:color w:val="1C262B"/>
                <w:sz w:val="20"/>
              </w:rPr>
              <w:t>Consumer Economics and Major Purchases</w:t>
            </w:r>
          </w:p>
        </w:tc>
        <w:tc>
          <w:tcPr>
            <w:tcW w:type="dxa" w:w="1152"/>
            <w:tcBorders>
              <w:top w:val="single" w:sz="6" w:color="C9D6DC"/>
              <w:left w:val="single" w:sz="6" w:color="C9D6DC"/>
              <w:bottom w:val="single" w:sz="6" w:color="C9D6DC"/>
              <w:right w:val="single" w:sz="6" w:color="C9D6DC"/>
            </w:tcBorders>
          </w:tcPr>
          <w:p>
            <w:pPr>
              <w:spacing w:after="20"/>
            </w:pPr>
            <w:r>
              <w:rPr>
                <w:b w:val="0"/>
                <w:color w:val="1C262B"/>
                <w:sz w:val="20"/>
              </w:rPr>
              <w:t>9</w:t>
            </w:r>
          </w:p>
        </w:tc>
        <w:tc>
          <w:tcPr>
            <w:tcW w:type="dxa" w:w="2592"/>
            <w:tcBorders>
              <w:top w:val="single" w:sz="6" w:color="C9D6DC"/>
              <w:left w:val="single" w:sz="6" w:color="C9D6DC"/>
              <w:bottom w:val="single" w:sz="6" w:color="C9D6DC"/>
              <w:right w:val="single" w:sz="6" w:color="C9D6DC"/>
            </w:tcBorders>
          </w:tcPr>
          <w:p>
            <w:pPr>
              <w:spacing w:after="20"/>
            </w:pPr>
            <w:r>
              <w:rPr>
                <w:b w:val="0"/>
                <w:color w:val="1C262B"/>
                <w:sz w:val="20"/>
              </w:rPr>
              <w:t>45</w:t>
            </w:r>
          </w:p>
        </w:tc>
      </w:tr>
      <w:tr>
        <w:tc>
          <w:tcPr>
            <w:tcW w:type="dxa" w:w="864"/>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6</w:t>
            </w:r>
          </w:p>
        </w:tc>
        <w:tc>
          <w:tcPr>
            <w:tcW w:type="dxa" w:w="5616"/>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Banking and Saving</w:t>
            </w:r>
          </w:p>
        </w:tc>
        <w:tc>
          <w:tcPr>
            <w:tcW w:type="dxa" w:w="1152"/>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7</w:t>
            </w:r>
          </w:p>
        </w:tc>
        <w:tc>
          <w:tcPr>
            <w:tcW w:type="dxa" w:w="2592"/>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52</w:t>
            </w:r>
          </w:p>
        </w:tc>
      </w:tr>
      <w:tr>
        <w:tc>
          <w:tcPr>
            <w:tcW w:type="dxa" w:w="864"/>
            <w:tcBorders>
              <w:top w:val="single" w:sz="6" w:color="C9D6DC"/>
              <w:left w:val="single" w:sz="6" w:color="C9D6DC"/>
              <w:bottom w:val="single" w:sz="6" w:color="C9D6DC"/>
              <w:right w:val="single" w:sz="6" w:color="C9D6DC"/>
            </w:tcBorders>
          </w:tcPr>
          <w:p>
            <w:pPr>
              <w:spacing w:after="20"/>
            </w:pPr>
            <w:r>
              <w:rPr>
                <w:b w:val="0"/>
                <w:color w:val="1C262B"/>
                <w:sz w:val="20"/>
              </w:rPr>
              <w:t>7</w:t>
            </w:r>
          </w:p>
        </w:tc>
        <w:tc>
          <w:tcPr>
            <w:tcW w:type="dxa" w:w="5616"/>
            <w:tcBorders>
              <w:top w:val="single" w:sz="6" w:color="C9D6DC"/>
              <w:left w:val="single" w:sz="6" w:color="C9D6DC"/>
              <w:bottom w:val="single" w:sz="6" w:color="C9D6DC"/>
              <w:right w:val="single" w:sz="6" w:color="C9D6DC"/>
            </w:tcBorders>
          </w:tcPr>
          <w:p>
            <w:pPr>
              <w:spacing w:after="20"/>
            </w:pPr>
            <w:r>
              <w:rPr>
                <w:b w:val="0"/>
                <w:color w:val="1C262B"/>
                <w:sz w:val="20"/>
              </w:rPr>
              <w:t>Investing and Retirement</w:t>
            </w:r>
          </w:p>
        </w:tc>
        <w:tc>
          <w:tcPr>
            <w:tcW w:type="dxa" w:w="1152"/>
            <w:tcBorders>
              <w:top w:val="single" w:sz="6" w:color="C9D6DC"/>
              <w:left w:val="single" w:sz="6" w:color="C9D6DC"/>
              <w:bottom w:val="single" w:sz="6" w:color="C9D6DC"/>
              <w:right w:val="single" w:sz="6" w:color="C9D6DC"/>
            </w:tcBorders>
          </w:tcPr>
          <w:p>
            <w:pPr>
              <w:spacing w:after="20"/>
            </w:pPr>
            <w:r>
              <w:rPr>
                <w:b w:val="0"/>
                <w:color w:val="1C262B"/>
                <w:sz w:val="20"/>
              </w:rPr>
              <w:t>11</w:t>
            </w:r>
          </w:p>
        </w:tc>
        <w:tc>
          <w:tcPr>
            <w:tcW w:type="dxa" w:w="2592"/>
            <w:tcBorders>
              <w:top w:val="single" w:sz="6" w:color="C9D6DC"/>
              <w:left w:val="single" w:sz="6" w:color="C9D6DC"/>
              <w:bottom w:val="single" w:sz="6" w:color="C9D6DC"/>
              <w:right w:val="single" w:sz="6" w:color="C9D6DC"/>
            </w:tcBorders>
          </w:tcPr>
          <w:p>
            <w:pPr>
              <w:spacing w:after="20"/>
            </w:pPr>
            <w:r>
              <w:rPr>
                <w:b w:val="0"/>
                <w:color w:val="1C262B"/>
                <w:sz w:val="20"/>
              </w:rPr>
              <w:t>63</w:t>
            </w:r>
          </w:p>
        </w:tc>
      </w:tr>
      <w:tr>
        <w:tc>
          <w:tcPr>
            <w:tcW w:type="dxa" w:w="864"/>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8</w:t>
            </w:r>
          </w:p>
        </w:tc>
        <w:tc>
          <w:tcPr>
            <w:tcW w:type="dxa" w:w="5616"/>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Credit and Debt</w:t>
            </w:r>
          </w:p>
        </w:tc>
        <w:tc>
          <w:tcPr>
            <w:tcW w:type="dxa" w:w="1152"/>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12</w:t>
            </w:r>
          </w:p>
        </w:tc>
        <w:tc>
          <w:tcPr>
            <w:tcW w:type="dxa" w:w="2592"/>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75</w:t>
            </w:r>
          </w:p>
        </w:tc>
      </w:tr>
      <w:tr>
        <w:tc>
          <w:tcPr>
            <w:tcW w:type="dxa" w:w="864"/>
            <w:tcBorders>
              <w:top w:val="single" w:sz="6" w:color="C9D6DC"/>
              <w:left w:val="single" w:sz="6" w:color="C9D6DC"/>
              <w:bottom w:val="single" w:sz="6" w:color="C9D6DC"/>
              <w:right w:val="single" w:sz="6" w:color="C9D6DC"/>
            </w:tcBorders>
          </w:tcPr>
          <w:p>
            <w:pPr>
              <w:spacing w:after="20"/>
            </w:pPr>
            <w:r>
              <w:rPr>
                <w:b w:val="0"/>
                <w:color w:val="1C262B"/>
                <w:sz w:val="20"/>
              </w:rPr>
              <w:t>9</w:t>
            </w:r>
          </w:p>
        </w:tc>
        <w:tc>
          <w:tcPr>
            <w:tcW w:type="dxa" w:w="5616"/>
            <w:tcBorders>
              <w:top w:val="single" w:sz="6" w:color="C9D6DC"/>
              <w:left w:val="single" w:sz="6" w:color="C9D6DC"/>
              <w:bottom w:val="single" w:sz="6" w:color="C9D6DC"/>
              <w:right w:val="single" w:sz="6" w:color="C9D6DC"/>
            </w:tcBorders>
          </w:tcPr>
          <w:p>
            <w:pPr>
              <w:spacing w:after="20"/>
            </w:pPr>
            <w:r>
              <w:rPr>
                <w:b w:val="0"/>
                <w:color w:val="1C262B"/>
                <w:sz w:val="20"/>
              </w:rPr>
              <w:t>Risk Management and Insurance</w:t>
            </w:r>
          </w:p>
        </w:tc>
        <w:tc>
          <w:tcPr>
            <w:tcW w:type="dxa" w:w="1152"/>
            <w:tcBorders>
              <w:top w:val="single" w:sz="6" w:color="C9D6DC"/>
              <w:left w:val="single" w:sz="6" w:color="C9D6DC"/>
              <w:bottom w:val="single" w:sz="6" w:color="C9D6DC"/>
              <w:right w:val="single" w:sz="6" w:color="C9D6DC"/>
            </w:tcBorders>
          </w:tcPr>
          <w:p>
            <w:pPr>
              <w:spacing w:after="20"/>
            </w:pPr>
            <w:r>
              <w:rPr>
                <w:b w:val="0"/>
                <w:color w:val="1C262B"/>
                <w:sz w:val="20"/>
              </w:rPr>
              <w:t>9</w:t>
            </w:r>
          </w:p>
        </w:tc>
        <w:tc>
          <w:tcPr>
            <w:tcW w:type="dxa" w:w="2592"/>
            <w:tcBorders>
              <w:top w:val="single" w:sz="6" w:color="C9D6DC"/>
              <w:left w:val="single" w:sz="6" w:color="C9D6DC"/>
              <w:bottom w:val="single" w:sz="6" w:color="C9D6DC"/>
              <w:right w:val="single" w:sz="6" w:color="C9D6DC"/>
            </w:tcBorders>
          </w:tcPr>
          <w:p>
            <w:pPr>
              <w:spacing w:after="20"/>
            </w:pPr>
            <w:r>
              <w:rPr>
                <w:b w:val="0"/>
                <w:color w:val="1C262B"/>
                <w:sz w:val="20"/>
              </w:rPr>
              <w:t>84</w:t>
            </w:r>
          </w:p>
        </w:tc>
      </w:tr>
      <w:tr>
        <w:tc>
          <w:tcPr>
            <w:tcW w:type="dxa" w:w="864"/>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10</w:t>
            </w:r>
          </w:p>
        </w:tc>
        <w:tc>
          <w:tcPr>
            <w:tcW w:type="dxa" w:w="5616"/>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Entrepreneurship and Capstone</w:t>
            </w:r>
          </w:p>
        </w:tc>
        <w:tc>
          <w:tcPr>
            <w:tcW w:type="dxa" w:w="1152"/>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6</w:t>
            </w:r>
          </w:p>
        </w:tc>
        <w:tc>
          <w:tcPr>
            <w:tcW w:type="dxa" w:w="2592"/>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90</w:t>
            </w:r>
          </w:p>
        </w:tc>
      </w:tr>
    </w:tbl>
    <w:p>
      <w:pPr>
        <w:spacing w:after="40"/>
      </w:pPr>
    </w:p>
    <w:tbl>
      <w:tblPr>
        <w:tblW w:type="auto" w:w="0"/>
        <w:jc w:val="left"/>
        <w:tblLook w:firstColumn="1" w:firstRow="1" w:lastColumn="0" w:lastRow="0" w:noHBand="0" w:noVBand="1" w:val="04A0"/>
      </w:tblPr>
      <w:tblGrid>
        <w:gridCol w:w="10224"/>
      </w:tblGrid>
      <w:tr>
        <w:tc>
          <w:tcPr>
            <w:tcW w:type="dxa" w:w="10224"/>
            <w:shd w:val="clear" w:fill="EAF2F4"/>
            <w:tcBorders>
              <w:top w:val="single" w:sz="6" w:color="C9D6DC"/>
              <w:left w:val="single" w:sz="6" w:color="C9D6DC"/>
              <w:bottom w:val="single" w:sz="6" w:color="C9D6DC"/>
              <w:right w:val="single" w:sz="6" w:color="C9D6DC"/>
            </w:tcBorders>
          </w:tcPr>
          <w:p>
            <w:pPr>
              <w:spacing w:after="60"/>
            </w:pPr>
            <w:r/>
            <w:r>
              <w:rPr>
                <w:b/>
                <w:color w:val="0F3D5C"/>
                <w:sz w:val="21"/>
              </w:rPr>
              <w:t>Why the sequence runs in this order</w:t>
            </w:r>
          </w:p>
          <w:p>
            <w:pPr>
              <w:spacing w:after="40"/>
            </w:pPr>
            <w:r>
              <w:rPr>
                <w:color w:val="1C262B"/>
                <w:sz w:val="21"/>
              </w:rPr>
              <w:t>Students earn money before they budget it, budget it before they borrow against it, and finish by building something with all of it.</w:t>
            </w:r>
          </w:p>
          <w:p>
            <w:pPr>
              <w:spacing w:after="40"/>
            </w:pPr>
            <w:r>
              <w:rPr>
                <w:color w:val="1C262B"/>
                <w:sz w:val="21"/>
              </w:rPr>
              <w:t>Unit 3 comes early because a paycheck is the first financial document most students actually hold, and every later unit refers back to net pay.</w:t>
            </w:r>
          </w:p>
          <w:p>
            <w:pPr>
              <w:spacing w:after="40"/>
            </w:pPr>
            <w:r>
              <w:rPr>
                <w:color w:val="1C262B"/>
                <w:sz w:val="21"/>
              </w:rPr>
              <w:t>Credit is the longest unit at 12 days because it is the largest topic in every framework reviewed — 13 standards in CEE, 17 benchmarks in Florida.</w:t>
            </w:r>
          </w:p>
          <w:p>
            <w:pPr>
              <w:spacing w:after="40"/>
            </w:pPr>
            <w:r>
              <w:rPr>
                <w:color w:val="1C262B"/>
                <w:sz w:val="21"/>
              </w:rPr>
              <w:t>The capstone in Unit 10 asks students to assemble a complete personal financial plan using every unit that came before it.</w:t>
            </w:r>
          </w:p>
        </w:tc>
      </w:tr>
    </w:tbl>
    <w:p>
      <w:pPr>
        <w:spacing w:after="40"/>
      </w:pPr>
    </w:p>
    <w:p>
      <w:r>
        <w:br w:type="page"/>
      </w:r>
    </w:p>
    <w:p>
      <w:pPr>
        <w:spacing w:before="0" w:after="80"/>
      </w:pPr>
      <w:r>
        <w:rPr>
          <w:rFonts w:ascii="Calibri" w:hAnsi="Calibri"/>
          <w:b/>
          <w:color w:val="0F3D5C"/>
          <w:sz w:val="26"/>
        </w:rPr>
        <w:t>Unit by unit</w:t>
      </w:r>
    </w:p>
    <w:p>
      <w:pPr>
        <w:spacing w:before="200" w:after="60"/>
      </w:pPr>
      <w:r>
        <w:rPr>
          <w:b/>
          <w:color w:val="12796B"/>
          <w:sz w:val="23"/>
        </w:rPr>
        <w:t>Unit 1 · Economic Foundations and Decision-Making</w:t>
      </w:r>
    </w:p>
    <w:tbl>
      <w:tblPr>
        <w:tblW w:type="auto" w:w="0"/>
        <w:jc w:val="left"/>
        <w:tblLook w:firstColumn="1" w:firstRow="1" w:lastColumn="0" w:lastRow="0" w:noHBand="0" w:noVBand="1" w:val="04A0"/>
      </w:tblPr>
      <w:tblGrid>
        <w:gridCol w:w="5112"/>
        <w:gridCol w:w="5112"/>
      </w:tblGrid>
      <w:tr>
        <w:tc>
          <w:tcPr>
            <w:tcW w:type="dxa" w:w="2160"/>
            <w:shd w:val="clear" w:fill="EAF2F4"/>
            <w:tcBorders>
              <w:top w:val="single" w:sz="6" w:color="C9D6DC"/>
              <w:left w:val="single" w:sz="6" w:color="C9D6DC"/>
              <w:bottom w:val="single" w:sz="6" w:color="C9D6DC"/>
              <w:right w:val="single" w:sz="6" w:color="C9D6DC"/>
            </w:tcBorders>
          </w:tcPr>
          <w:p>
            <w:pPr>
              <w:spacing w:after="20"/>
            </w:pPr>
            <w:r>
              <w:rPr>
                <w:b/>
                <w:color w:val="0F3D5C"/>
                <w:sz w:val="19"/>
              </w:rPr>
            </w:r>
          </w:p>
        </w:tc>
        <w:tc>
          <w:tcPr>
            <w:tcW w:type="dxa" w:w="8064"/>
            <w:shd w:val="clear" w:fill="EAF2F4"/>
            <w:tcBorders>
              <w:top w:val="single" w:sz="6" w:color="C9D6DC"/>
              <w:left w:val="single" w:sz="6" w:color="C9D6DC"/>
              <w:bottom w:val="single" w:sz="6" w:color="C9D6DC"/>
              <w:right w:val="single" w:sz="6" w:color="C9D6DC"/>
            </w:tcBorders>
          </w:tcPr>
          <w:p>
            <w:pPr>
              <w:spacing w:after="20"/>
            </w:pPr>
            <w:r>
              <w:rPr>
                <w:b/>
                <w:color w:val="0F3D5C"/>
                <w:sz w:val="19"/>
              </w:rPr>
            </w:r>
          </w:p>
        </w:tc>
      </w:tr>
      <w:tr>
        <w:tc>
          <w:tcPr>
            <w:tcW w:type="dxa" w:w="2160"/>
            <w:tcBorders>
              <w:top w:val="single" w:sz="6" w:color="C9D6DC"/>
              <w:left w:val="single" w:sz="6" w:color="C9D6DC"/>
              <w:bottom w:val="single" w:sz="6" w:color="C9D6DC"/>
              <w:right w:val="single" w:sz="6" w:color="C9D6DC"/>
            </w:tcBorders>
          </w:tcPr>
          <w:p>
            <w:pPr>
              <w:spacing w:after="20"/>
            </w:pPr>
            <w:r>
              <w:rPr>
                <w:b w:val="0"/>
                <w:color w:val="1C262B"/>
                <w:sz w:val="19"/>
              </w:rPr>
              <w:t>Days</w:t>
            </w:r>
          </w:p>
        </w:tc>
        <w:tc>
          <w:tcPr>
            <w:tcW w:type="dxa" w:w="8064"/>
            <w:tcBorders>
              <w:top w:val="single" w:sz="6" w:color="C9D6DC"/>
              <w:left w:val="single" w:sz="6" w:color="C9D6DC"/>
              <w:bottom w:val="single" w:sz="6" w:color="C9D6DC"/>
              <w:right w:val="single" w:sz="6" w:color="C9D6DC"/>
            </w:tcBorders>
          </w:tcPr>
          <w:p>
            <w:pPr>
              <w:spacing w:after="20"/>
            </w:pPr>
            <w:r>
              <w:rPr>
                <w:b w:val="0"/>
                <w:color w:val="1C262B"/>
                <w:sz w:val="19"/>
              </w:rPr>
              <w:t>7 instructional days</w:t>
            </w:r>
          </w:p>
        </w:tc>
      </w:tr>
      <w:tr>
        <w:tc>
          <w:tcPr>
            <w:tcW w:type="dxa" w:w="2160"/>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§113.26</w:t>
            </w:r>
          </w:p>
        </w:tc>
        <w:tc>
          <w:tcPr>
            <w:tcW w:type="dxa" w:w="8064"/>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§113.26(d)(1) · §113.26(d)(2)</w:t>
            </w:r>
          </w:p>
        </w:tc>
      </w:tr>
      <w:tr>
        <w:tc>
          <w:tcPr>
            <w:tcW w:type="dxa" w:w="2160"/>
            <w:tcBorders>
              <w:top w:val="single" w:sz="6" w:color="C9D6DC"/>
              <w:left w:val="single" w:sz="6" w:color="C9D6DC"/>
              <w:bottom w:val="single" w:sz="6" w:color="C9D6DC"/>
              <w:right w:val="single" w:sz="6" w:color="C9D6DC"/>
            </w:tcBorders>
          </w:tcPr>
          <w:p>
            <w:pPr>
              <w:spacing w:after="20"/>
            </w:pPr>
            <w:r>
              <w:rPr>
                <w:b w:val="0"/>
                <w:color w:val="1C262B"/>
                <w:sz w:val="19"/>
              </w:rPr>
              <w:t>Skills and content</w:t>
            </w:r>
          </w:p>
        </w:tc>
        <w:tc>
          <w:tcPr>
            <w:tcW w:type="dxa" w:w="8064"/>
            <w:tcBorders>
              <w:top w:val="single" w:sz="6" w:color="C9D6DC"/>
              <w:left w:val="single" w:sz="6" w:color="C9D6DC"/>
              <w:bottom w:val="single" w:sz="6" w:color="C9D6DC"/>
              <w:right w:val="single" w:sz="6" w:color="C9D6DC"/>
            </w:tcBorders>
          </w:tcPr>
          <w:p>
            <w:pPr>
              <w:spacing w:after="20"/>
            </w:pPr>
            <w:r>
              <w:rPr>
                <w:b w:val="0"/>
                <w:color w:val="1C262B"/>
                <w:sz w:val="19"/>
              </w:rPr>
              <w:t>Scarcity, opportunity cost and free enterprise as personal decisions · comparative economic systems · SMART financial goals · behavioral biases · the 10-year personal financial plan</w:t>
            </w:r>
          </w:p>
        </w:tc>
      </w:tr>
      <w:tr>
        <w:tc>
          <w:tcPr>
            <w:tcW w:type="dxa" w:w="2160"/>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Assessed by</w:t>
            </w:r>
          </w:p>
        </w:tc>
        <w:tc>
          <w:tcPr>
            <w:tcW w:type="dxa" w:w="8064"/>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Unit quiz, two versions · station activity · unit project</w:t>
            </w:r>
          </w:p>
        </w:tc>
      </w:tr>
    </w:tbl>
    <w:p>
      <w:pPr>
        <w:spacing w:after="40"/>
      </w:pPr>
    </w:p>
    <w:p>
      <w:pPr>
        <w:spacing w:before="200" w:after="60"/>
      </w:pPr>
      <w:r>
        <w:rPr>
          <w:b/>
          <w:color w:val="12796B"/>
          <w:sz w:val="23"/>
        </w:rPr>
        <w:t>Unit 2 · Careers, Education and Earning Potential</w:t>
      </w:r>
    </w:p>
    <w:tbl>
      <w:tblPr>
        <w:tblW w:type="auto" w:w="0"/>
        <w:jc w:val="left"/>
        <w:tblLook w:firstColumn="1" w:firstRow="1" w:lastColumn="0" w:lastRow="0" w:noHBand="0" w:noVBand="1" w:val="04A0"/>
      </w:tblPr>
      <w:tblGrid>
        <w:gridCol w:w="5112"/>
        <w:gridCol w:w="5112"/>
      </w:tblGrid>
      <w:tr>
        <w:tc>
          <w:tcPr>
            <w:tcW w:type="dxa" w:w="2160"/>
            <w:shd w:val="clear" w:fill="EAF2F4"/>
            <w:tcBorders>
              <w:top w:val="single" w:sz="6" w:color="C9D6DC"/>
              <w:left w:val="single" w:sz="6" w:color="C9D6DC"/>
              <w:bottom w:val="single" w:sz="6" w:color="C9D6DC"/>
              <w:right w:val="single" w:sz="6" w:color="C9D6DC"/>
            </w:tcBorders>
          </w:tcPr>
          <w:p>
            <w:pPr>
              <w:spacing w:after="20"/>
            </w:pPr>
            <w:r>
              <w:rPr>
                <w:b/>
                <w:color w:val="0F3D5C"/>
                <w:sz w:val="19"/>
              </w:rPr>
            </w:r>
          </w:p>
        </w:tc>
        <w:tc>
          <w:tcPr>
            <w:tcW w:type="dxa" w:w="8064"/>
            <w:shd w:val="clear" w:fill="EAF2F4"/>
            <w:tcBorders>
              <w:top w:val="single" w:sz="6" w:color="C9D6DC"/>
              <w:left w:val="single" w:sz="6" w:color="C9D6DC"/>
              <w:bottom w:val="single" w:sz="6" w:color="C9D6DC"/>
              <w:right w:val="single" w:sz="6" w:color="C9D6DC"/>
            </w:tcBorders>
          </w:tcPr>
          <w:p>
            <w:pPr>
              <w:spacing w:after="20"/>
            </w:pPr>
            <w:r>
              <w:rPr>
                <w:b/>
                <w:color w:val="0F3D5C"/>
                <w:sz w:val="19"/>
              </w:rPr>
            </w:r>
          </w:p>
        </w:tc>
      </w:tr>
      <w:tr>
        <w:tc>
          <w:tcPr>
            <w:tcW w:type="dxa" w:w="2160"/>
            <w:tcBorders>
              <w:top w:val="single" w:sz="6" w:color="C9D6DC"/>
              <w:left w:val="single" w:sz="6" w:color="C9D6DC"/>
              <w:bottom w:val="single" w:sz="6" w:color="C9D6DC"/>
              <w:right w:val="single" w:sz="6" w:color="C9D6DC"/>
            </w:tcBorders>
          </w:tcPr>
          <w:p>
            <w:pPr>
              <w:spacing w:after="20"/>
            </w:pPr>
            <w:r>
              <w:rPr>
                <w:b w:val="0"/>
                <w:color w:val="1C262B"/>
                <w:sz w:val="19"/>
              </w:rPr>
              <w:t>Days</w:t>
            </w:r>
          </w:p>
        </w:tc>
        <w:tc>
          <w:tcPr>
            <w:tcW w:type="dxa" w:w="8064"/>
            <w:tcBorders>
              <w:top w:val="single" w:sz="6" w:color="C9D6DC"/>
              <w:left w:val="single" w:sz="6" w:color="C9D6DC"/>
              <w:bottom w:val="single" w:sz="6" w:color="C9D6DC"/>
              <w:right w:val="single" w:sz="6" w:color="C9D6DC"/>
            </w:tcBorders>
          </w:tcPr>
          <w:p>
            <w:pPr>
              <w:spacing w:after="20"/>
            </w:pPr>
            <w:r>
              <w:rPr>
                <w:b w:val="0"/>
                <w:color w:val="1C262B"/>
                <w:sz w:val="19"/>
              </w:rPr>
              <w:t>8 instructional days</w:t>
            </w:r>
          </w:p>
        </w:tc>
      </w:tr>
      <w:tr>
        <w:tc>
          <w:tcPr>
            <w:tcW w:type="dxa" w:w="2160"/>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§113.26</w:t>
            </w:r>
          </w:p>
        </w:tc>
        <w:tc>
          <w:tcPr>
            <w:tcW w:type="dxa" w:w="8064"/>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§113.26(d)(3)</w:t>
            </w:r>
          </w:p>
        </w:tc>
      </w:tr>
      <w:tr>
        <w:tc>
          <w:tcPr>
            <w:tcW w:type="dxa" w:w="2160"/>
            <w:tcBorders>
              <w:top w:val="single" w:sz="6" w:color="C9D6DC"/>
              <w:left w:val="single" w:sz="6" w:color="C9D6DC"/>
              <w:bottom w:val="single" w:sz="6" w:color="C9D6DC"/>
              <w:right w:val="single" w:sz="6" w:color="C9D6DC"/>
            </w:tcBorders>
          </w:tcPr>
          <w:p>
            <w:pPr>
              <w:spacing w:after="20"/>
            </w:pPr>
            <w:r>
              <w:rPr>
                <w:b w:val="0"/>
                <w:color w:val="1C262B"/>
                <w:sz w:val="19"/>
              </w:rPr>
              <w:t>Skills and content</w:t>
            </w:r>
          </w:p>
        </w:tc>
        <w:tc>
          <w:tcPr>
            <w:tcW w:type="dxa" w:w="8064"/>
            <w:tcBorders>
              <w:top w:val="single" w:sz="6" w:color="C9D6DC"/>
              <w:left w:val="single" w:sz="6" w:color="C9D6DC"/>
              <w:bottom w:val="single" w:sz="6" w:color="C9D6DC"/>
              <w:right w:val="single" w:sz="6" w:color="C9D6DC"/>
            </w:tcBorders>
          </w:tcPr>
          <w:p>
            <w:pPr>
              <w:spacing w:after="20"/>
            </w:pPr>
            <w:r>
              <w:rPr>
                <w:b w:val="0"/>
                <w:color w:val="1C262B"/>
                <w:sz w:val="19"/>
              </w:rPr>
              <w:t>Earnings by education level · return on investment for four-year, two-year, trade and apprenticeship pathways · total cost of postsecondary education · FAFSA and TASFA · federal versus private student loans</w:t>
            </w:r>
          </w:p>
        </w:tc>
      </w:tr>
      <w:tr>
        <w:tc>
          <w:tcPr>
            <w:tcW w:type="dxa" w:w="2160"/>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Published lessons</w:t>
            </w:r>
          </w:p>
        </w:tc>
        <w:tc>
          <w:tcPr>
            <w:tcW w:type="dxa" w:w="8064"/>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Topic 09</w:t>
            </w:r>
          </w:p>
        </w:tc>
      </w:tr>
      <w:tr>
        <w:tc>
          <w:tcPr>
            <w:tcW w:type="dxa" w:w="2160"/>
            <w:tcBorders>
              <w:top w:val="single" w:sz="6" w:color="C9D6DC"/>
              <w:left w:val="single" w:sz="6" w:color="C9D6DC"/>
              <w:bottom w:val="single" w:sz="6" w:color="C9D6DC"/>
              <w:right w:val="single" w:sz="6" w:color="C9D6DC"/>
            </w:tcBorders>
          </w:tcPr>
          <w:p>
            <w:pPr>
              <w:spacing w:after="20"/>
            </w:pPr>
            <w:r>
              <w:rPr>
                <w:b w:val="0"/>
                <w:color w:val="1C262B"/>
                <w:sz w:val="19"/>
              </w:rPr>
              <w:t>Assessed by</w:t>
            </w:r>
          </w:p>
        </w:tc>
        <w:tc>
          <w:tcPr>
            <w:tcW w:type="dxa" w:w="8064"/>
            <w:tcBorders>
              <w:top w:val="single" w:sz="6" w:color="C9D6DC"/>
              <w:left w:val="single" w:sz="6" w:color="C9D6DC"/>
              <w:bottom w:val="single" w:sz="6" w:color="C9D6DC"/>
              <w:right w:val="single" w:sz="6" w:color="C9D6DC"/>
            </w:tcBorders>
          </w:tcPr>
          <w:p>
            <w:pPr>
              <w:spacing w:after="20"/>
            </w:pPr>
            <w:r>
              <w:rPr>
                <w:b w:val="0"/>
                <w:color w:val="1C262B"/>
                <w:sz w:val="19"/>
              </w:rPr>
              <w:t>Unit quiz, two versions · station activity · unit project</w:t>
            </w:r>
          </w:p>
        </w:tc>
      </w:tr>
    </w:tbl>
    <w:p>
      <w:pPr>
        <w:spacing w:after="40"/>
      </w:pPr>
    </w:p>
    <w:p>
      <w:pPr>
        <w:spacing w:before="200" w:after="60"/>
      </w:pPr>
      <w:r>
        <w:rPr>
          <w:b/>
          <w:color w:val="12796B"/>
          <w:sz w:val="23"/>
        </w:rPr>
        <w:t>Unit 3 · Earning Income, Paychecks and Taxes</w:t>
      </w:r>
    </w:p>
    <w:tbl>
      <w:tblPr>
        <w:tblW w:type="auto" w:w="0"/>
        <w:jc w:val="left"/>
        <w:tblLook w:firstColumn="1" w:firstRow="1" w:lastColumn="0" w:lastRow="0" w:noHBand="0" w:noVBand="1" w:val="04A0"/>
      </w:tblPr>
      <w:tblGrid>
        <w:gridCol w:w="5112"/>
        <w:gridCol w:w="5112"/>
      </w:tblGrid>
      <w:tr>
        <w:tc>
          <w:tcPr>
            <w:tcW w:type="dxa" w:w="2160"/>
            <w:shd w:val="clear" w:fill="EAF2F4"/>
            <w:tcBorders>
              <w:top w:val="single" w:sz="6" w:color="C9D6DC"/>
              <w:left w:val="single" w:sz="6" w:color="C9D6DC"/>
              <w:bottom w:val="single" w:sz="6" w:color="C9D6DC"/>
              <w:right w:val="single" w:sz="6" w:color="C9D6DC"/>
            </w:tcBorders>
          </w:tcPr>
          <w:p>
            <w:pPr>
              <w:spacing w:after="20"/>
            </w:pPr>
            <w:r>
              <w:rPr>
                <w:b/>
                <w:color w:val="0F3D5C"/>
                <w:sz w:val="19"/>
              </w:rPr>
            </w:r>
          </w:p>
        </w:tc>
        <w:tc>
          <w:tcPr>
            <w:tcW w:type="dxa" w:w="8064"/>
            <w:shd w:val="clear" w:fill="EAF2F4"/>
            <w:tcBorders>
              <w:top w:val="single" w:sz="6" w:color="C9D6DC"/>
              <w:left w:val="single" w:sz="6" w:color="C9D6DC"/>
              <w:bottom w:val="single" w:sz="6" w:color="C9D6DC"/>
              <w:right w:val="single" w:sz="6" w:color="C9D6DC"/>
            </w:tcBorders>
          </w:tcPr>
          <w:p>
            <w:pPr>
              <w:spacing w:after="20"/>
            </w:pPr>
            <w:r>
              <w:rPr>
                <w:b/>
                <w:color w:val="0F3D5C"/>
                <w:sz w:val="19"/>
              </w:rPr>
            </w:r>
          </w:p>
        </w:tc>
      </w:tr>
      <w:tr>
        <w:tc>
          <w:tcPr>
            <w:tcW w:type="dxa" w:w="2160"/>
            <w:tcBorders>
              <w:top w:val="single" w:sz="6" w:color="C9D6DC"/>
              <w:left w:val="single" w:sz="6" w:color="C9D6DC"/>
              <w:bottom w:val="single" w:sz="6" w:color="C9D6DC"/>
              <w:right w:val="single" w:sz="6" w:color="C9D6DC"/>
            </w:tcBorders>
          </w:tcPr>
          <w:p>
            <w:pPr>
              <w:spacing w:after="20"/>
            </w:pPr>
            <w:r>
              <w:rPr>
                <w:b w:val="0"/>
                <w:color w:val="1C262B"/>
                <w:sz w:val="19"/>
              </w:rPr>
              <w:t>Days</w:t>
            </w:r>
          </w:p>
        </w:tc>
        <w:tc>
          <w:tcPr>
            <w:tcW w:type="dxa" w:w="8064"/>
            <w:tcBorders>
              <w:top w:val="single" w:sz="6" w:color="C9D6DC"/>
              <w:left w:val="single" w:sz="6" w:color="C9D6DC"/>
              <w:bottom w:val="single" w:sz="6" w:color="C9D6DC"/>
              <w:right w:val="single" w:sz="6" w:color="C9D6DC"/>
            </w:tcBorders>
          </w:tcPr>
          <w:p>
            <w:pPr>
              <w:spacing w:after="20"/>
            </w:pPr>
            <w:r>
              <w:rPr>
                <w:b w:val="0"/>
                <w:color w:val="1C262B"/>
                <w:sz w:val="19"/>
              </w:rPr>
              <w:t>11 instructional days</w:t>
            </w:r>
          </w:p>
        </w:tc>
      </w:tr>
      <w:tr>
        <w:tc>
          <w:tcPr>
            <w:tcW w:type="dxa" w:w="2160"/>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§113.26</w:t>
            </w:r>
          </w:p>
        </w:tc>
        <w:tc>
          <w:tcPr>
            <w:tcW w:type="dxa" w:w="8064"/>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§113.26(d)(5)</w:t>
            </w:r>
          </w:p>
        </w:tc>
      </w:tr>
      <w:tr>
        <w:tc>
          <w:tcPr>
            <w:tcW w:type="dxa" w:w="2160"/>
            <w:tcBorders>
              <w:top w:val="single" w:sz="6" w:color="C9D6DC"/>
              <w:left w:val="single" w:sz="6" w:color="C9D6DC"/>
              <w:bottom w:val="single" w:sz="6" w:color="C9D6DC"/>
              <w:right w:val="single" w:sz="6" w:color="C9D6DC"/>
            </w:tcBorders>
          </w:tcPr>
          <w:p>
            <w:pPr>
              <w:spacing w:after="20"/>
            </w:pPr>
            <w:r>
              <w:rPr>
                <w:b w:val="0"/>
                <w:color w:val="1C262B"/>
                <w:sz w:val="19"/>
              </w:rPr>
              <w:t>Skills and content</w:t>
            </w:r>
          </w:p>
        </w:tc>
        <w:tc>
          <w:tcPr>
            <w:tcW w:type="dxa" w:w="8064"/>
            <w:tcBorders>
              <w:top w:val="single" w:sz="6" w:color="C9D6DC"/>
              <w:left w:val="single" w:sz="6" w:color="C9D6DC"/>
              <w:bottom w:val="single" w:sz="6" w:color="C9D6DC"/>
              <w:right w:val="single" w:sz="6" w:color="C9D6DC"/>
            </w:tcBorders>
          </w:tcPr>
          <w:p>
            <w:pPr>
              <w:spacing w:after="20"/>
            </w:pPr>
            <w:r>
              <w:rPr>
                <w:b w:val="0"/>
                <w:color w:val="1C262B"/>
                <w:sz w:val="19"/>
              </w:rPr>
              <w:t>Forms of compensation · reading a pay stub · gross versus net pay · FICA · W-4, W-2, 1099 · filing a 1040 · marginal versus effective tax rates</w:t>
            </w:r>
          </w:p>
        </w:tc>
      </w:tr>
      <w:tr>
        <w:tc>
          <w:tcPr>
            <w:tcW w:type="dxa" w:w="2160"/>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Published lessons</w:t>
            </w:r>
          </w:p>
        </w:tc>
        <w:tc>
          <w:tcPr>
            <w:tcW w:type="dxa" w:w="8064"/>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Topic 01 · Topic 02 · Topic 03</w:t>
            </w:r>
          </w:p>
        </w:tc>
      </w:tr>
      <w:tr>
        <w:tc>
          <w:tcPr>
            <w:tcW w:type="dxa" w:w="2160"/>
            <w:tcBorders>
              <w:top w:val="single" w:sz="6" w:color="C9D6DC"/>
              <w:left w:val="single" w:sz="6" w:color="C9D6DC"/>
              <w:bottom w:val="single" w:sz="6" w:color="C9D6DC"/>
              <w:right w:val="single" w:sz="6" w:color="C9D6DC"/>
            </w:tcBorders>
          </w:tcPr>
          <w:p>
            <w:pPr>
              <w:spacing w:after="20"/>
            </w:pPr>
            <w:r>
              <w:rPr>
                <w:b w:val="0"/>
                <w:color w:val="1C262B"/>
                <w:sz w:val="19"/>
              </w:rPr>
              <w:t>Assessed by</w:t>
            </w:r>
          </w:p>
        </w:tc>
        <w:tc>
          <w:tcPr>
            <w:tcW w:type="dxa" w:w="8064"/>
            <w:tcBorders>
              <w:top w:val="single" w:sz="6" w:color="C9D6DC"/>
              <w:left w:val="single" w:sz="6" w:color="C9D6DC"/>
              <w:bottom w:val="single" w:sz="6" w:color="C9D6DC"/>
              <w:right w:val="single" w:sz="6" w:color="C9D6DC"/>
            </w:tcBorders>
          </w:tcPr>
          <w:p>
            <w:pPr>
              <w:spacing w:after="20"/>
            </w:pPr>
            <w:r>
              <w:rPr>
                <w:b w:val="0"/>
                <w:color w:val="1C262B"/>
                <w:sz w:val="19"/>
              </w:rPr>
              <w:t>Unit quiz, two versions · station activity · unit project</w:t>
            </w:r>
          </w:p>
        </w:tc>
      </w:tr>
    </w:tbl>
    <w:p>
      <w:pPr>
        <w:spacing w:after="40"/>
      </w:pPr>
    </w:p>
    <w:p>
      <w:pPr>
        <w:spacing w:before="200" w:after="60"/>
      </w:pPr>
      <w:r>
        <w:rPr>
          <w:b/>
          <w:color w:val="12796B"/>
          <w:sz w:val="23"/>
        </w:rPr>
        <w:t>Unit 4 · Budgeting and Money Management</w:t>
      </w:r>
    </w:p>
    <w:tbl>
      <w:tblPr>
        <w:tblW w:type="auto" w:w="0"/>
        <w:jc w:val="left"/>
        <w:tblLook w:firstColumn="1" w:firstRow="1" w:lastColumn="0" w:lastRow="0" w:noHBand="0" w:noVBand="1" w:val="04A0"/>
      </w:tblPr>
      <w:tblGrid>
        <w:gridCol w:w="5112"/>
        <w:gridCol w:w="5112"/>
      </w:tblGrid>
      <w:tr>
        <w:tc>
          <w:tcPr>
            <w:tcW w:type="dxa" w:w="2160"/>
            <w:shd w:val="clear" w:fill="EAF2F4"/>
            <w:tcBorders>
              <w:top w:val="single" w:sz="6" w:color="C9D6DC"/>
              <w:left w:val="single" w:sz="6" w:color="C9D6DC"/>
              <w:bottom w:val="single" w:sz="6" w:color="C9D6DC"/>
              <w:right w:val="single" w:sz="6" w:color="C9D6DC"/>
            </w:tcBorders>
          </w:tcPr>
          <w:p>
            <w:pPr>
              <w:spacing w:after="20"/>
            </w:pPr>
            <w:r>
              <w:rPr>
                <w:b/>
                <w:color w:val="0F3D5C"/>
                <w:sz w:val="19"/>
              </w:rPr>
            </w:r>
          </w:p>
        </w:tc>
        <w:tc>
          <w:tcPr>
            <w:tcW w:type="dxa" w:w="8064"/>
            <w:shd w:val="clear" w:fill="EAF2F4"/>
            <w:tcBorders>
              <w:top w:val="single" w:sz="6" w:color="C9D6DC"/>
              <w:left w:val="single" w:sz="6" w:color="C9D6DC"/>
              <w:bottom w:val="single" w:sz="6" w:color="C9D6DC"/>
              <w:right w:val="single" w:sz="6" w:color="C9D6DC"/>
            </w:tcBorders>
          </w:tcPr>
          <w:p>
            <w:pPr>
              <w:spacing w:after="20"/>
            </w:pPr>
            <w:r>
              <w:rPr>
                <w:b/>
                <w:color w:val="0F3D5C"/>
                <w:sz w:val="19"/>
              </w:rPr>
            </w:r>
          </w:p>
        </w:tc>
      </w:tr>
      <w:tr>
        <w:tc>
          <w:tcPr>
            <w:tcW w:type="dxa" w:w="2160"/>
            <w:tcBorders>
              <w:top w:val="single" w:sz="6" w:color="C9D6DC"/>
              <w:left w:val="single" w:sz="6" w:color="C9D6DC"/>
              <w:bottom w:val="single" w:sz="6" w:color="C9D6DC"/>
              <w:right w:val="single" w:sz="6" w:color="C9D6DC"/>
            </w:tcBorders>
          </w:tcPr>
          <w:p>
            <w:pPr>
              <w:spacing w:after="20"/>
            </w:pPr>
            <w:r>
              <w:rPr>
                <w:b w:val="0"/>
                <w:color w:val="1C262B"/>
                <w:sz w:val="19"/>
              </w:rPr>
              <w:t>Days</w:t>
            </w:r>
          </w:p>
        </w:tc>
        <w:tc>
          <w:tcPr>
            <w:tcW w:type="dxa" w:w="8064"/>
            <w:tcBorders>
              <w:top w:val="single" w:sz="6" w:color="C9D6DC"/>
              <w:left w:val="single" w:sz="6" w:color="C9D6DC"/>
              <w:bottom w:val="single" w:sz="6" w:color="C9D6DC"/>
              <w:right w:val="single" w:sz="6" w:color="C9D6DC"/>
            </w:tcBorders>
          </w:tcPr>
          <w:p>
            <w:pPr>
              <w:spacing w:after="20"/>
            </w:pPr>
            <w:r>
              <w:rPr>
                <w:b w:val="0"/>
                <w:color w:val="1C262B"/>
                <w:sz w:val="19"/>
              </w:rPr>
              <w:t>10 instructional days</w:t>
            </w:r>
          </w:p>
        </w:tc>
      </w:tr>
      <w:tr>
        <w:tc>
          <w:tcPr>
            <w:tcW w:type="dxa" w:w="2160"/>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§113.26</w:t>
            </w:r>
          </w:p>
        </w:tc>
        <w:tc>
          <w:tcPr>
            <w:tcW w:type="dxa" w:w="8064"/>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§113.26(d)(6)</w:t>
            </w:r>
          </w:p>
        </w:tc>
      </w:tr>
      <w:tr>
        <w:tc>
          <w:tcPr>
            <w:tcW w:type="dxa" w:w="2160"/>
            <w:tcBorders>
              <w:top w:val="single" w:sz="6" w:color="C9D6DC"/>
              <w:left w:val="single" w:sz="6" w:color="C9D6DC"/>
              <w:bottom w:val="single" w:sz="6" w:color="C9D6DC"/>
              <w:right w:val="single" w:sz="6" w:color="C9D6DC"/>
            </w:tcBorders>
          </w:tcPr>
          <w:p>
            <w:pPr>
              <w:spacing w:after="20"/>
            </w:pPr>
            <w:r>
              <w:rPr>
                <w:b w:val="0"/>
                <w:color w:val="1C262B"/>
                <w:sz w:val="19"/>
              </w:rPr>
              <w:t>Skills and content</w:t>
            </w:r>
          </w:p>
        </w:tc>
        <w:tc>
          <w:tcPr>
            <w:tcW w:type="dxa" w:w="8064"/>
            <w:tcBorders>
              <w:top w:val="single" w:sz="6" w:color="C9D6DC"/>
              <w:left w:val="single" w:sz="6" w:color="C9D6DC"/>
              <w:bottom w:val="single" w:sz="6" w:color="C9D6DC"/>
              <w:right w:val="single" w:sz="6" w:color="C9D6DC"/>
            </w:tcBorders>
          </w:tcPr>
          <w:p>
            <w:pPr>
              <w:spacing w:after="20"/>
            </w:pPr>
            <w:r>
              <w:rPr>
                <w:b w:val="0"/>
                <w:color w:val="1C262B"/>
                <w:sz w:val="19"/>
              </w:rPr>
              <w:t>Fixed, variable and periodic expenses · needs versus wants · 50-30-20, zero-based and envelope methods · net worth · emergency funds · absorbing an income shock</w:t>
            </w:r>
          </w:p>
        </w:tc>
      </w:tr>
      <w:tr>
        <w:tc>
          <w:tcPr>
            <w:tcW w:type="dxa" w:w="2160"/>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Published lessons</w:t>
            </w:r>
          </w:p>
        </w:tc>
        <w:tc>
          <w:tcPr>
            <w:tcW w:type="dxa" w:w="8064"/>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Topic 06</w:t>
            </w:r>
          </w:p>
        </w:tc>
      </w:tr>
      <w:tr>
        <w:tc>
          <w:tcPr>
            <w:tcW w:type="dxa" w:w="2160"/>
            <w:tcBorders>
              <w:top w:val="single" w:sz="6" w:color="C9D6DC"/>
              <w:left w:val="single" w:sz="6" w:color="C9D6DC"/>
              <w:bottom w:val="single" w:sz="6" w:color="C9D6DC"/>
              <w:right w:val="single" w:sz="6" w:color="C9D6DC"/>
            </w:tcBorders>
          </w:tcPr>
          <w:p>
            <w:pPr>
              <w:spacing w:after="20"/>
            </w:pPr>
            <w:r>
              <w:rPr>
                <w:b w:val="0"/>
                <w:color w:val="1C262B"/>
                <w:sz w:val="19"/>
              </w:rPr>
              <w:t>Assessed by</w:t>
            </w:r>
          </w:p>
        </w:tc>
        <w:tc>
          <w:tcPr>
            <w:tcW w:type="dxa" w:w="8064"/>
            <w:tcBorders>
              <w:top w:val="single" w:sz="6" w:color="C9D6DC"/>
              <w:left w:val="single" w:sz="6" w:color="C9D6DC"/>
              <w:bottom w:val="single" w:sz="6" w:color="C9D6DC"/>
              <w:right w:val="single" w:sz="6" w:color="C9D6DC"/>
            </w:tcBorders>
          </w:tcPr>
          <w:p>
            <w:pPr>
              <w:spacing w:after="20"/>
            </w:pPr>
            <w:r>
              <w:rPr>
                <w:b w:val="0"/>
                <w:color w:val="1C262B"/>
                <w:sz w:val="19"/>
              </w:rPr>
              <w:t>Unit quiz, two versions · station activity · unit project</w:t>
            </w:r>
          </w:p>
        </w:tc>
      </w:tr>
    </w:tbl>
    <w:p>
      <w:pPr>
        <w:spacing w:after="40"/>
      </w:pPr>
    </w:p>
    <w:p>
      <w:pPr>
        <w:spacing w:before="200" w:after="60"/>
      </w:pPr>
      <w:r>
        <w:rPr>
          <w:b/>
          <w:color w:val="12796B"/>
          <w:sz w:val="23"/>
        </w:rPr>
        <w:t>Unit 5 · Consumer Economics and Major Purchases</w:t>
      </w:r>
    </w:p>
    <w:tbl>
      <w:tblPr>
        <w:tblW w:type="auto" w:w="0"/>
        <w:jc w:val="left"/>
        <w:tblLook w:firstColumn="1" w:firstRow="1" w:lastColumn="0" w:lastRow="0" w:noHBand="0" w:noVBand="1" w:val="04A0"/>
      </w:tblPr>
      <w:tblGrid>
        <w:gridCol w:w="5112"/>
        <w:gridCol w:w="5112"/>
      </w:tblGrid>
      <w:tr>
        <w:tc>
          <w:tcPr>
            <w:tcW w:type="dxa" w:w="2160"/>
            <w:shd w:val="clear" w:fill="EAF2F4"/>
            <w:tcBorders>
              <w:top w:val="single" w:sz="6" w:color="C9D6DC"/>
              <w:left w:val="single" w:sz="6" w:color="C9D6DC"/>
              <w:bottom w:val="single" w:sz="6" w:color="C9D6DC"/>
              <w:right w:val="single" w:sz="6" w:color="C9D6DC"/>
            </w:tcBorders>
          </w:tcPr>
          <w:p>
            <w:pPr>
              <w:spacing w:after="20"/>
            </w:pPr>
            <w:r>
              <w:rPr>
                <w:b/>
                <w:color w:val="0F3D5C"/>
                <w:sz w:val="19"/>
              </w:rPr>
            </w:r>
          </w:p>
        </w:tc>
        <w:tc>
          <w:tcPr>
            <w:tcW w:type="dxa" w:w="8064"/>
            <w:shd w:val="clear" w:fill="EAF2F4"/>
            <w:tcBorders>
              <w:top w:val="single" w:sz="6" w:color="C9D6DC"/>
              <w:left w:val="single" w:sz="6" w:color="C9D6DC"/>
              <w:bottom w:val="single" w:sz="6" w:color="C9D6DC"/>
              <w:right w:val="single" w:sz="6" w:color="C9D6DC"/>
            </w:tcBorders>
          </w:tcPr>
          <w:p>
            <w:pPr>
              <w:spacing w:after="20"/>
            </w:pPr>
            <w:r>
              <w:rPr>
                <w:b/>
                <w:color w:val="0F3D5C"/>
                <w:sz w:val="19"/>
              </w:rPr>
            </w:r>
          </w:p>
        </w:tc>
      </w:tr>
      <w:tr>
        <w:tc>
          <w:tcPr>
            <w:tcW w:type="dxa" w:w="2160"/>
            <w:tcBorders>
              <w:top w:val="single" w:sz="6" w:color="C9D6DC"/>
              <w:left w:val="single" w:sz="6" w:color="C9D6DC"/>
              <w:bottom w:val="single" w:sz="6" w:color="C9D6DC"/>
              <w:right w:val="single" w:sz="6" w:color="C9D6DC"/>
            </w:tcBorders>
          </w:tcPr>
          <w:p>
            <w:pPr>
              <w:spacing w:after="20"/>
            </w:pPr>
            <w:r>
              <w:rPr>
                <w:b w:val="0"/>
                <w:color w:val="1C262B"/>
                <w:sz w:val="19"/>
              </w:rPr>
              <w:t>Days</w:t>
            </w:r>
          </w:p>
        </w:tc>
        <w:tc>
          <w:tcPr>
            <w:tcW w:type="dxa" w:w="8064"/>
            <w:tcBorders>
              <w:top w:val="single" w:sz="6" w:color="C9D6DC"/>
              <w:left w:val="single" w:sz="6" w:color="C9D6DC"/>
              <w:bottom w:val="single" w:sz="6" w:color="C9D6DC"/>
              <w:right w:val="single" w:sz="6" w:color="C9D6DC"/>
            </w:tcBorders>
          </w:tcPr>
          <w:p>
            <w:pPr>
              <w:spacing w:after="20"/>
            </w:pPr>
            <w:r>
              <w:rPr>
                <w:b w:val="0"/>
                <w:color w:val="1C262B"/>
                <w:sz w:val="19"/>
              </w:rPr>
              <w:t>9 instructional days</w:t>
            </w:r>
          </w:p>
        </w:tc>
      </w:tr>
      <w:tr>
        <w:tc>
          <w:tcPr>
            <w:tcW w:type="dxa" w:w="2160"/>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§113.26</w:t>
            </w:r>
          </w:p>
        </w:tc>
        <w:tc>
          <w:tcPr>
            <w:tcW w:type="dxa" w:w="8064"/>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§113.26(d)(4) · §113.26(d)(6)</w:t>
            </w:r>
          </w:p>
        </w:tc>
      </w:tr>
      <w:tr>
        <w:tc>
          <w:tcPr>
            <w:tcW w:type="dxa" w:w="2160"/>
            <w:tcBorders>
              <w:top w:val="single" w:sz="6" w:color="C9D6DC"/>
              <w:left w:val="single" w:sz="6" w:color="C9D6DC"/>
              <w:bottom w:val="single" w:sz="6" w:color="C9D6DC"/>
              <w:right w:val="single" w:sz="6" w:color="C9D6DC"/>
            </w:tcBorders>
          </w:tcPr>
          <w:p>
            <w:pPr>
              <w:spacing w:after="20"/>
            </w:pPr>
            <w:r>
              <w:rPr>
                <w:b w:val="0"/>
                <w:color w:val="1C262B"/>
                <w:sz w:val="19"/>
              </w:rPr>
              <w:t>Skills and content</w:t>
            </w:r>
          </w:p>
        </w:tc>
        <w:tc>
          <w:tcPr>
            <w:tcW w:type="dxa" w:w="8064"/>
            <w:tcBorders>
              <w:top w:val="single" w:sz="6" w:color="C9D6DC"/>
              <w:left w:val="single" w:sz="6" w:color="C9D6DC"/>
              <w:bottom w:val="single" w:sz="6" w:color="C9D6DC"/>
              <w:right w:val="single" w:sz="6" w:color="C9D6DC"/>
            </w:tcBorders>
          </w:tcPr>
          <w:p>
            <w:pPr>
              <w:spacing w:after="20"/>
            </w:pPr>
            <w:r>
              <w:rPr>
                <w:b w:val="0"/>
                <w:color w:val="1C262B"/>
                <w:sz w:val="19"/>
              </w:rPr>
              <w:t>Marketing influence and consumer behavior · evaluating sources · buying versus leasing a vehicle · total cost of ownership · rent versus buy · consumer protection and fraud</w:t>
            </w:r>
          </w:p>
        </w:tc>
      </w:tr>
      <w:tr>
        <w:tc>
          <w:tcPr>
            <w:tcW w:type="dxa" w:w="2160"/>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Published lessons</w:t>
            </w:r>
          </w:p>
        </w:tc>
        <w:tc>
          <w:tcPr>
            <w:tcW w:type="dxa" w:w="8064"/>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Topic 07</w:t>
            </w:r>
          </w:p>
        </w:tc>
      </w:tr>
      <w:tr>
        <w:tc>
          <w:tcPr>
            <w:tcW w:type="dxa" w:w="2160"/>
            <w:tcBorders>
              <w:top w:val="single" w:sz="6" w:color="C9D6DC"/>
              <w:left w:val="single" w:sz="6" w:color="C9D6DC"/>
              <w:bottom w:val="single" w:sz="6" w:color="C9D6DC"/>
              <w:right w:val="single" w:sz="6" w:color="C9D6DC"/>
            </w:tcBorders>
          </w:tcPr>
          <w:p>
            <w:pPr>
              <w:spacing w:after="20"/>
            </w:pPr>
            <w:r>
              <w:rPr>
                <w:b w:val="0"/>
                <w:color w:val="1C262B"/>
                <w:sz w:val="19"/>
              </w:rPr>
              <w:t>Assessed by</w:t>
            </w:r>
          </w:p>
        </w:tc>
        <w:tc>
          <w:tcPr>
            <w:tcW w:type="dxa" w:w="8064"/>
            <w:tcBorders>
              <w:top w:val="single" w:sz="6" w:color="C9D6DC"/>
              <w:left w:val="single" w:sz="6" w:color="C9D6DC"/>
              <w:bottom w:val="single" w:sz="6" w:color="C9D6DC"/>
              <w:right w:val="single" w:sz="6" w:color="C9D6DC"/>
            </w:tcBorders>
          </w:tcPr>
          <w:p>
            <w:pPr>
              <w:spacing w:after="20"/>
            </w:pPr>
            <w:r>
              <w:rPr>
                <w:b w:val="0"/>
                <w:color w:val="1C262B"/>
                <w:sz w:val="19"/>
              </w:rPr>
              <w:t>Unit quiz, two versions · station activity · unit project</w:t>
            </w:r>
          </w:p>
        </w:tc>
      </w:tr>
    </w:tbl>
    <w:p>
      <w:pPr>
        <w:spacing w:after="40"/>
      </w:pPr>
    </w:p>
    <w:p>
      <w:pPr>
        <w:spacing w:before="200" w:after="60"/>
      </w:pPr>
      <w:r>
        <w:rPr>
          <w:b/>
          <w:color w:val="12796B"/>
          <w:sz w:val="23"/>
        </w:rPr>
        <w:t>Unit 6 · Banking and Saving</w:t>
      </w:r>
    </w:p>
    <w:tbl>
      <w:tblPr>
        <w:tblW w:type="auto" w:w="0"/>
        <w:jc w:val="left"/>
        <w:tblLook w:firstColumn="1" w:firstRow="1" w:lastColumn="0" w:lastRow="0" w:noHBand="0" w:noVBand="1" w:val="04A0"/>
      </w:tblPr>
      <w:tblGrid>
        <w:gridCol w:w="5112"/>
        <w:gridCol w:w="5112"/>
      </w:tblGrid>
      <w:tr>
        <w:tc>
          <w:tcPr>
            <w:tcW w:type="dxa" w:w="2160"/>
            <w:shd w:val="clear" w:fill="EAF2F4"/>
            <w:tcBorders>
              <w:top w:val="single" w:sz="6" w:color="C9D6DC"/>
              <w:left w:val="single" w:sz="6" w:color="C9D6DC"/>
              <w:bottom w:val="single" w:sz="6" w:color="C9D6DC"/>
              <w:right w:val="single" w:sz="6" w:color="C9D6DC"/>
            </w:tcBorders>
          </w:tcPr>
          <w:p>
            <w:pPr>
              <w:spacing w:after="20"/>
            </w:pPr>
            <w:r>
              <w:rPr>
                <w:b/>
                <w:color w:val="0F3D5C"/>
                <w:sz w:val="19"/>
              </w:rPr>
            </w:r>
          </w:p>
        </w:tc>
        <w:tc>
          <w:tcPr>
            <w:tcW w:type="dxa" w:w="8064"/>
            <w:shd w:val="clear" w:fill="EAF2F4"/>
            <w:tcBorders>
              <w:top w:val="single" w:sz="6" w:color="C9D6DC"/>
              <w:left w:val="single" w:sz="6" w:color="C9D6DC"/>
              <w:bottom w:val="single" w:sz="6" w:color="C9D6DC"/>
              <w:right w:val="single" w:sz="6" w:color="C9D6DC"/>
            </w:tcBorders>
          </w:tcPr>
          <w:p>
            <w:pPr>
              <w:spacing w:after="20"/>
            </w:pPr>
            <w:r>
              <w:rPr>
                <w:b/>
                <w:color w:val="0F3D5C"/>
                <w:sz w:val="19"/>
              </w:rPr>
            </w:r>
          </w:p>
        </w:tc>
      </w:tr>
      <w:tr>
        <w:tc>
          <w:tcPr>
            <w:tcW w:type="dxa" w:w="2160"/>
            <w:tcBorders>
              <w:top w:val="single" w:sz="6" w:color="C9D6DC"/>
              <w:left w:val="single" w:sz="6" w:color="C9D6DC"/>
              <w:bottom w:val="single" w:sz="6" w:color="C9D6DC"/>
              <w:right w:val="single" w:sz="6" w:color="C9D6DC"/>
            </w:tcBorders>
          </w:tcPr>
          <w:p>
            <w:pPr>
              <w:spacing w:after="20"/>
            </w:pPr>
            <w:r>
              <w:rPr>
                <w:b w:val="0"/>
                <w:color w:val="1C262B"/>
                <w:sz w:val="19"/>
              </w:rPr>
              <w:t>Days</w:t>
            </w:r>
          </w:p>
        </w:tc>
        <w:tc>
          <w:tcPr>
            <w:tcW w:type="dxa" w:w="8064"/>
            <w:tcBorders>
              <w:top w:val="single" w:sz="6" w:color="C9D6DC"/>
              <w:left w:val="single" w:sz="6" w:color="C9D6DC"/>
              <w:bottom w:val="single" w:sz="6" w:color="C9D6DC"/>
              <w:right w:val="single" w:sz="6" w:color="C9D6DC"/>
            </w:tcBorders>
          </w:tcPr>
          <w:p>
            <w:pPr>
              <w:spacing w:after="20"/>
            </w:pPr>
            <w:r>
              <w:rPr>
                <w:b w:val="0"/>
                <w:color w:val="1C262B"/>
                <w:sz w:val="19"/>
              </w:rPr>
              <w:t>7 instructional days</w:t>
            </w:r>
          </w:p>
        </w:tc>
      </w:tr>
      <w:tr>
        <w:tc>
          <w:tcPr>
            <w:tcW w:type="dxa" w:w="2160"/>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§113.26</w:t>
            </w:r>
          </w:p>
        </w:tc>
        <w:tc>
          <w:tcPr>
            <w:tcW w:type="dxa" w:w="8064"/>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§113.26(d)(7)</w:t>
            </w:r>
          </w:p>
        </w:tc>
      </w:tr>
      <w:tr>
        <w:tc>
          <w:tcPr>
            <w:tcW w:type="dxa" w:w="2160"/>
            <w:tcBorders>
              <w:top w:val="single" w:sz="6" w:color="C9D6DC"/>
              <w:left w:val="single" w:sz="6" w:color="C9D6DC"/>
              <w:bottom w:val="single" w:sz="6" w:color="C9D6DC"/>
              <w:right w:val="single" w:sz="6" w:color="C9D6DC"/>
            </w:tcBorders>
          </w:tcPr>
          <w:p>
            <w:pPr>
              <w:spacing w:after="20"/>
            </w:pPr>
            <w:r>
              <w:rPr>
                <w:b w:val="0"/>
                <w:color w:val="1C262B"/>
                <w:sz w:val="19"/>
              </w:rPr>
              <w:t>Skills and content</w:t>
            </w:r>
          </w:p>
        </w:tc>
        <w:tc>
          <w:tcPr>
            <w:tcW w:type="dxa" w:w="8064"/>
            <w:tcBorders>
              <w:top w:val="single" w:sz="6" w:color="C9D6DC"/>
              <w:left w:val="single" w:sz="6" w:color="C9D6DC"/>
              <w:bottom w:val="single" w:sz="6" w:color="C9D6DC"/>
              <w:right w:val="single" w:sz="6" w:color="C9D6DC"/>
            </w:tcBorders>
          </w:tcPr>
          <w:p>
            <w:pPr>
              <w:spacing w:after="20"/>
            </w:pPr>
            <w:r>
              <w:rPr>
                <w:b w:val="0"/>
                <w:color w:val="1C262B"/>
                <w:sz w:val="19"/>
              </w:rPr>
              <w:t>Choosing a financial institution · account types · simple versus compound interest · the Rule of 72 · inflation and real return · deposit insurance and regulation</w:t>
            </w:r>
          </w:p>
        </w:tc>
      </w:tr>
      <w:tr>
        <w:tc>
          <w:tcPr>
            <w:tcW w:type="dxa" w:w="2160"/>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Published lessons</w:t>
            </w:r>
          </w:p>
        </w:tc>
        <w:tc>
          <w:tcPr>
            <w:tcW w:type="dxa" w:w="8064"/>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Topic 08</w:t>
            </w:r>
          </w:p>
        </w:tc>
      </w:tr>
      <w:tr>
        <w:tc>
          <w:tcPr>
            <w:tcW w:type="dxa" w:w="2160"/>
            <w:tcBorders>
              <w:top w:val="single" w:sz="6" w:color="C9D6DC"/>
              <w:left w:val="single" w:sz="6" w:color="C9D6DC"/>
              <w:bottom w:val="single" w:sz="6" w:color="C9D6DC"/>
              <w:right w:val="single" w:sz="6" w:color="C9D6DC"/>
            </w:tcBorders>
          </w:tcPr>
          <w:p>
            <w:pPr>
              <w:spacing w:after="20"/>
            </w:pPr>
            <w:r>
              <w:rPr>
                <w:b w:val="0"/>
                <w:color w:val="1C262B"/>
                <w:sz w:val="19"/>
              </w:rPr>
              <w:t>Assessed by</w:t>
            </w:r>
          </w:p>
        </w:tc>
        <w:tc>
          <w:tcPr>
            <w:tcW w:type="dxa" w:w="8064"/>
            <w:tcBorders>
              <w:top w:val="single" w:sz="6" w:color="C9D6DC"/>
              <w:left w:val="single" w:sz="6" w:color="C9D6DC"/>
              <w:bottom w:val="single" w:sz="6" w:color="C9D6DC"/>
              <w:right w:val="single" w:sz="6" w:color="C9D6DC"/>
            </w:tcBorders>
          </w:tcPr>
          <w:p>
            <w:pPr>
              <w:spacing w:after="20"/>
            </w:pPr>
            <w:r>
              <w:rPr>
                <w:b w:val="0"/>
                <w:color w:val="1C262B"/>
                <w:sz w:val="19"/>
              </w:rPr>
              <w:t>Unit quiz, two versions · station activity · unit project</w:t>
            </w:r>
          </w:p>
        </w:tc>
      </w:tr>
    </w:tbl>
    <w:p>
      <w:pPr>
        <w:spacing w:after="40"/>
      </w:pPr>
    </w:p>
    <w:p>
      <w:pPr>
        <w:spacing w:before="200" w:after="60"/>
      </w:pPr>
      <w:r>
        <w:rPr>
          <w:b/>
          <w:color w:val="12796B"/>
          <w:sz w:val="23"/>
        </w:rPr>
        <w:t>Unit 7 · Investing and Retirement</w:t>
      </w:r>
    </w:p>
    <w:tbl>
      <w:tblPr>
        <w:tblW w:type="auto" w:w="0"/>
        <w:jc w:val="left"/>
        <w:tblLook w:firstColumn="1" w:firstRow="1" w:lastColumn="0" w:lastRow="0" w:noHBand="0" w:noVBand="1" w:val="04A0"/>
      </w:tblPr>
      <w:tblGrid>
        <w:gridCol w:w="5112"/>
        <w:gridCol w:w="5112"/>
      </w:tblGrid>
      <w:tr>
        <w:tc>
          <w:tcPr>
            <w:tcW w:type="dxa" w:w="2160"/>
            <w:shd w:val="clear" w:fill="EAF2F4"/>
            <w:tcBorders>
              <w:top w:val="single" w:sz="6" w:color="C9D6DC"/>
              <w:left w:val="single" w:sz="6" w:color="C9D6DC"/>
              <w:bottom w:val="single" w:sz="6" w:color="C9D6DC"/>
              <w:right w:val="single" w:sz="6" w:color="C9D6DC"/>
            </w:tcBorders>
          </w:tcPr>
          <w:p>
            <w:pPr>
              <w:spacing w:after="20"/>
            </w:pPr>
            <w:r>
              <w:rPr>
                <w:b/>
                <w:color w:val="0F3D5C"/>
                <w:sz w:val="19"/>
              </w:rPr>
            </w:r>
          </w:p>
        </w:tc>
        <w:tc>
          <w:tcPr>
            <w:tcW w:type="dxa" w:w="8064"/>
            <w:shd w:val="clear" w:fill="EAF2F4"/>
            <w:tcBorders>
              <w:top w:val="single" w:sz="6" w:color="C9D6DC"/>
              <w:left w:val="single" w:sz="6" w:color="C9D6DC"/>
              <w:bottom w:val="single" w:sz="6" w:color="C9D6DC"/>
              <w:right w:val="single" w:sz="6" w:color="C9D6DC"/>
            </w:tcBorders>
          </w:tcPr>
          <w:p>
            <w:pPr>
              <w:spacing w:after="20"/>
            </w:pPr>
            <w:r>
              <w:rPr>
                <w:b/>
                <w:color w:val="0F3D5C"/>
                <w:sz w:val="19"/>
              </w:rPr>
            </w:r>
          </w:p>
        </w:tc>
      </w:tr>
      <w:tr>
        <w:tc>
          <w:tcPr>
            <w:tcW w:type="dxa" w:w="2160"/>
            <w:tcBorders>
              <w:top w:val="single" w:sz="6" w:color="C9D6DC"/>
              <w:left w:val="single" w:sz="6" w:color="C9D6DC"/>
              <w:bottom w:val="single" w:sz="6" w:color="C9D6DC"/>
              <w:right w:val="single" w:sz="6" w:color="C9D6DC"/>
            </w:tcBorders>
          </w:tcPr>
          <w:p>
            <w:pPr>
              <w:spacing w:after="20"/>
            </w:pPr>
            <w:r>
              <w:rPr>
                <w:b w:val="0"/>
                <w:color w:val="1C262B"/>
                <w:sz w:val="19"/>
              </w:rPr>
              <w:t>Days</w:t>
            </w:r>
          </w:p>
        </w:tc>
        <w:tc>
          <w:tcPr>
            <w:tcW w:type="dxa" w:w="8064"/>
            <w:tcBorders>
              <w:top w:val="single" w:sz="6" w:color="C9D6DC"/>
              <w:left w:val="single" w:sz="6" w:color="C9D6DC"/>
              <w:bottom w:val="single" w:sz="6" w:color="C9D6DC"/>
              <w:right w:val="single" w:sz="6" w:color="C9D6DC"/>
            </w:tcBorders>
          </w:tcPr>
          <w:p>
            <w:pPr>
              <w:spacing w:after="20"/>
            </w:pPr>
            <w:r>
              <w:rPr>
                <w:b w:val="0"/>
                <w:color w:val="1C262B"/>
                <w:sz w:val="19"/>
              </w:rPr>
              <w:t>11 instructional days</w:t>
            </w:r>
          </w:p>
        </w:tc>
      </w:tr>
      <w:tr>
        <w:tc>
          <w:tcPr>
            <w:tcW w:type="dxa" w:w="2160"/>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§113.26</w:t>
            </w:r>
          </w:p>
        </w:tc>
        <w:tc>
          <w:tcPr>
            <w:tcW w:type="dxa" w:w="8064"/>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§113.26(d)(7)</w:t>
            </w:r>
          </w:p>
        </w:tc>
      </w:tr>
      <w:tr>
        <w:tc>
          <w:tcPr>
            <w:tcW w:type="dxa" w:w="2160"/>
            <w:tcBorders>
              <w:top w:val="single" w:sz="6" w:color="C9D6DC"/>
              <w:left w:val="single" w:sz="6" w:color="C9D6DC"/>
              <w:bottom w:val="single" w:sz="6" w:color="C9D6DC"/>
              <w:right w:val="single" w:sz="6" w:color="C9D6DC"/>
            </w:tcBorders>
          </w:tcPr>
          <w:p>
            <w:pPr>
              <w:spacing w:after="20"/>
            </w:pPr>
            <w:r>
              <w:rPr>
                <w:b w:val="0"/>
                <w:color w:val="1C262B"/>
                <w:sz w:val="19"/>
              </w:rPr>
              <w:t>Skills and content</w:t>
            </w:r>
          </w:p>
        </w:tc>
        <w:tc>
          <w:tcPr>
            <w:tcW w:type="dxa" w:w="8064"/>
            <w:tcBorders>
              <w:top w:val="single" w:sz="6" w:color="C9D6DC"/>
              <w:left w:val="single" w:sz="6" w:color="C9D6DC"/>
              <w:bottom w:val="single" w:sz="6" w:color="C9D6DC"/>
              <w:right w:val="single" w:sz="6" w:color="C9D6DC"/>
            </w:tcBorders>
          </w:tcPr>
          <w:p>
            <w:pPr>
              <w:spacing w:after="20"/>
            </w:pPr>
            <w:r>
              <w:rPr>
                <w:b w:val="0"/>
                <w:color w:val="1C262B"/>
                <w:sz w:val="19"/>
              </w:rPr>
              <w:t>Risk tolerance and time horizon · stocks, bonds, mutual funds, ETFs and index funds · diversification · fees and expense ratios · traditional versus Roth · employer match and opt-out design</w:t>
            </w:r>
          </w:p>
        </w:tc>
      </w:tr>
      <w:tr>
        <w:tc>
          <w:tcPr>
            <w:tcW w:type="dxa" w:w="2160"/>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Assessed by</w:t>
            </w:r>
          </w:p>
        </w:tc>
        <w:tc>
          <w:tcPr>
            <w:tcW w:type="dxa" w:w="8064"/>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Unit quiz, two versions · station activity · unit project</w:t>
            </w:r>
          </w:p>
        </w:tc>
      </w:tr>
    </w:tbl>
    <w:p>
      <w:pPr>
        <w:spacing w:after="40"/>
      </w:pPr>
    </w:p>
    <w:p>
      <w:pPr>
        <w:spacing w:before="200" w:after="60"/>
      </w:pPr>
      <w:r>
        <w:rPr>
          <w:b/>
          <w:color w:val="12796B"/>
          <w:sz w:val="23"/>
        </w:rPr>
        <w:t>Unit 8 · Credit and Debt</w:t>
      </w:r>
    </w:p>
    <w:tbl>
      <w:tblPr>
        <w:tblW w:type="auto" w:w="0"/>
        <w:jc w:val="left"/>
        <w:tblLook w:firstColumn="1" w:firstRow="1" w:lastColumn="0" w:lastRow="0" w:noHBand="0" w:noVBand="1" w:val="04A0"/>
      </w:tblPr>
      <w:tblGrid>
        <w:gridCol w:w="5112"/>
        <w:gridCol w:w="5112"/>
      </w:tblGrid>
      <w:tr>
        <w:tc>
          <w:tcPr>
            <w:tcW w:type="dxa" w:w="2160"/>
            <w:shd w:val="clear" w:fill="EAF2F4"/>
            <w:tcBorders>
              <w:top w:val="single" w:sz="6" w:color="C9D6DC"/>
              <w:left w:val="single" w:sz="6" w:color="C9D6DC"/>
              <w:bottom w:val="single" w:sz="6" w:color="C9D6DC"/>
              <w:right w:val="single" w:sz="6" w:color="C9D6DC"/>
            </w:tcBorders>
          </w:tcPr>
          <w:p>
            <w:pPr>
              <w:spacing w:after="20"/>
            </w:pPr>
            <w:r>
              <w:rPr>
                <w:b/>
                <w:color w:val="0F3D5C"/>
                <w:sz w:val="19"/>
              </w:rPr>
            </w:r>
          </w:p>
        </w:tc>
        <w:tc>
          <w:tcPr>
            <w:tcW w:type="dxa" w:w="8064"/>
            <w:shd w:val="clear" w:fill="EAF2F4"/>
            <w:tcBorders>
              <w:top w:val="single" w:sz="6" w:color="C9D6DC"/>
              <w:left w:val="single" w:sz="6" w:color="C9D6DC"/>
              <w:bottom w:val="single" w:sz="6" w:color="C9D6DC"/>
              <w:right w:val="single" w:sz="6" w:color="C9D6DC"/>
            </w:tcBorders>
          </w:tcPr>
          <w:p>
            <w:pPr>
              <w:spacing w:after="20"/>
            </w:pPr>
            <w:r>
              <w:rPr>
                <w:b/>
                <w:color w:val="0F3D5C"/>
                <w:sz w:val="19"/>
              </w:rPr>
            </w:r>
          </w:p>
        </w:tc>
      </w:tr>
      <w:tr>
        <w:tc>
          <w:tcPr>
            <w:tcW w:type="dxa" w:w="2160"/>
            <w:tcBorders>
              <w:top w:val="single" w:sz="6" w:color="C9D6DC"/>
              <w:left w:val="single" w:sz="6" w:color="C9D6DC"/>
              <w:bottom w:val="single" w:sz="6" w:color="C9D6DC"/>
              <w:right w:val="single" w:sz="6" w:color="C9D6DC"/>
            </w:tcBorders>
          </w:tcPr>
          <w:p>
            <w:pPr>
              <w:spacing w:after="20"/>
            </w:pPr>
            <w:r>
              <w:rPr>
                <w:b w:val="0"/>
                <w:color w:val="1C262B"/>
                <w:sz w:val="19"/>
              </w:rPr>
              <w:t>Days</w:t>
            </w:r>
          </w:p>
        </w:tc>
        <w:tc>
          <w:tcPr>
            <w:tcW w:type="dxa" w:w="8064"/>
            <w:tcBorders>
              <w:top w:val="single" w:sz="6" w:color="C9D6DC"/>
              <w:left w:val="single" w:sz="6" w:color="C9D6DC"/>
              <w:bottom w:val="single" w:sz="6" w:color="C9D6DC"/>
              <w:right w:val="single" w:sz="6" w:color="C9D6DC"/>
            </w:tcBorders>
          </w:tcPr>
          <w:p>
            <w:pPr>
              <w:spacing w:after="20"/>
            </w:pPr>
            <w:r>
              <w:rPr>
                <w:b w:val="0"/>
                <w:color w:val="1C262B"/>
                <w:sz w:val="19"/>
              </w:rPr>
              <w:t>12 instructional days</w:t>
            </w:r>
          </w:p>
        </w:tc>
      </w:tr>
      <w:tr>
        <w:tc>
          <w:tcPr>
            <w:tcW w:type="dxa" w:w="2160"/>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§113.26</w:t>
            </w:r>
          </w:p>
        </w:tc>
        <w:tc>
          <w:tcPr>
            <w:tcW w:type="dxa" w:w="8064"/>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§113.26(d)(8)</w:t>
            </w:r>
          </w:p>
        </w:tc>
      </w:tr>
      <w:tr>
        <w:tc>
          <w:tcPr>
            <w:tcW w:type="dxa" w:w="2160"/>
            <w:tcBorders>
              <w:top w:val="single" w:sz="6" w:color="C9D6DC"/>
              <w:left w:val="single" w:sz="6" w:color="C9D6DC"/>
              <w:bottom w:val="single" w:sz="6" w:color="C9D6DC"/>
              <w:right w:val="single" w:sz="6" w:color="C9D6DC"/>
            </w:tcBorders>
          </w:tcPr>
          <w:p>
            <w:pPr>
              <w:spacing w:after="20"/>
            </w:pPr>
            <w:r>
              <w:rPr>
                <w:b w:val="0"/>
                <w:color w:val="1C262B"/>
                <w:sz w:val="19"/>
              </w:rPr>
              <w:t>Skills and content</w:t>
            </w:r>
          </w:p>
        </w:tc>
        <w:tc>
          <w:tcPr>
            <w:tcW w:type="dxa" w:w="8064"/>
            <w:tcBorders>
              <w:top w:val="single" w:sz="6" w:color="C9D6DC"/>
              <w:left w:val="single" w:sz="6" w:color="C9D6DC"/>
              <w:bottom w:val="single" w:sz="6" w:color="C9D6DC"/>
              <w:right w:val="single" w:sz="6" w:color="C9D6DC"/>
            </w:tcBorders>
          </w:tcPr>
          <w:p>
            <w:pPr>
              <w:spacing w:after="20"/>
            </w:pPr>
            <w:r>
              <w:rPr>
                <w:b w:val="0"/>
                <w:color w:val="1C262B"/>
                <w:sz w:val="19"/>
              </w:rPr>
              <w:t>Types of credit · credit reports and credit scores · the five factors · APR, grace periods and minimum payments · student loans · predatory lending · snowball and avalanche</w:t>
            </w:r>
          </w:p>
        </w:tc>
      </w:tr>
      <w:tr>
        <w:tc>
          <w:tcPr>
            <w:tcW w:type="dxa" w:w="2160"/>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Published lessons</w:t>
            </w:r>
          </w:p>
        </w:tc>
        <w:tc>
          <w:tcPr>
            <w:tcW w:type="dxa" w:w="8064"/>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Topic 04 · Topic 05</w:t>
            </w:r>
          </w:p>
        </w:tc>
      </w:tr>
      <w:tr>
        <w:tc>
          <w:tcPr>
            <w:tcW w:type="dxa" w:w="2160"/>
            <w:tcBorders>
              <w:top w:val="single" w:sz="6" w:color="C9D6DC"/>
              <w:left w:val="single" w:sz="6" w:color="C9D6DC"/>
              <w:bottom w:val="single" w:sz="6" w:color="C9D6DC"/>
              <w:right w:val="single" w:sz="6" w:color="C9D6DC"/>
            </w:tcBorders>
          </w:tcPr>
          <w:p>
            <w:pPr>
              <w:spacing w:after="20"/>
            </w:pPr>
            <w:r>
              <w:rPr>
                <w:b w:val="0"/>
                <w:color w:val="1C262B"/>
                <w:sz w:val="19"/>
              </w:rPr>
              <w:t>Assessed by</w:t>
            </w:r>
          </w:p>
        </w:tc>
        <w:tc>
          <w:tcPr>
            <w:tcW w:type="dxa" w:w="8064"/>
            <w:tcBorders>
              <w:top w:val="single" w:sz="6" w:color="C9D6DC"/>
              <w:left w:val="single" w:sz="6" w:color="C9D6DC"/>
              <w:bottom w:val="single" w:sz="6" w:color="C9D6DC"/>
              <w:right w:val="single" w:sz="6" w:color="C9D6DC"/>
            </w:tcBorders>
          </w:tcPr>
          <w:p>
            <w:pPr>
              <w:spacing w:after="20"/>
            </w:pPr>
            <w:r>
              <w:rPr>
                <w:b w:val="0"/>
                <w:color w:val="1C262B"/>
                <w:sz w:val="19"/>
              </w:rPr>
              <w:t>Unit quiz, two versions · station activity · unit project</w:t>
            </w:r>
          </w:p>
        </w:tc>
      </w:tr>
    </w:tbl>
    <w:p>
      <w:pPr>
        <w:spacing w:after="40"/>
      </w:pPr>
    </w:p>
    <w:p>
      <w:pPr>
        <w:spacing w:before="200" w:after="60"/>
      </w:pPr>
      <w:r>
        <w:rPr>
          <w:b/>
          <w:color w:val="12796B"/>
          <w:sz w:val="23"/>
        </w:rPr>
        <w:t>Unit 9 · Risk Management and Insurance</w:t>
      </w:r>
    </w:p>
    <w:tbl>
      <w:tblPr>
        <w:tblW w:type="auto" w:w="0"/>
        <w:jc w:val="left"/>
        <w:tblLook w:firstColumn="1" w:firstRow="1" w:lastColumn="0" w:lastRow="0" w:noHBand="0" w:noVBand="1" w:val="04A0"/>
      </w:tblPr>
      <w:tblGrid>
        <w:gridCol w:w="5112"/>
        <w:gridCol w:w="5112"/>
      </w:tblGrid>
      <w:tr>
        <w:tc>
          <w:tcPr>
            <w:tcW w:type="dxa" w:w="2160"/>
            <w:shd w:val="clear" w:fill="EAF2F4"/>
            <w:tcBorders>
              <w:top w:val="single" w:sz="6" w:color="C9D6DC"/>
              <w:left w:val="single" w:sz="6" w:color="C9D6DC"/>
              <w:bottom w:val="single" w:sz="6" w:color="C9D6DC"/>
              <w:right w:val="single" w:sz="6" w:color="C9D6DC"/>
            </w:tcBorders>
          </w:tcPr>
          <w:p>
            <w:pPr>
              <w:spacing w:after="20"/>
            </w:pPr>
            <w:r>
              <w:rPr>
                <w:b/>
                <w:color w:val="0F3D5C"/>
                <w:sz w:val="19"/>
              </w:rPr>
            </w:r>
          </w:p>
        </w:tc>
        <w:tc>
          <w:tcPr>
            <w:tcW w:type="dxa" w:w="8064"/>
            <w:shd w:val="clear" w:fill="EAF2F4"/>
            <w:tcBorders>
              <w:top w:val="single" w:sz="6" w:color="C9D6DC"/>
              <w:left w:val="single" w:sz="6" w:color="C9D6DC"/>
              <w:bottom w:val="single" w:sz="6" w:color="C9D6DC"/>
              <w:right w:val="single" w:sz="6" w:color="C9D6DC"/>
            </w:tcBorders>
          </w:tcPr>
          <w:p>
            <w:pPr>
              <w:spacing w:after="20"/>
            </w:pPr>
            <w:r>
              <w:rPr>
                <w:b/>
                <w:color w:val="0F3D5C"/>
                <w:sz w:val="19"/>
              </w:rPr>
            </w:r>
          </w:p>
        </w:tc>
      </w:tr>
      <w:tr>
        <w:tc>
          <w:tcPr>
            <w:tcW w:type="dxa" w:w="2160"/>
            <w:tcBorders>
              <w:top w:val="single" w:sz="6" w:color="C9D6DC"/>
              <w:left w:val="single" w:sz="6" w:color="C9D6DC"/>
              <w:bottom w:val="single" w:sz="6" w:color="C9D6DC"/>
              <w:right w:val="single" w:sz="6" w:color="C9D6DC"/>
            </w:tcBorders>
          </w:tcPr>
          <w:p>
            <w:pPr>
              <w:spacing w:after="20"/>
            </w:pPr>
            <w:r>
              <w:rPr>
                <w:b w:val="0"/>
                <w:color w:val="1C262B"/>
                <w:sz w:val="19"/>
              </w:rPr>
              <w:t>Days</w:t>
            </w:r>
          </w:p>
        </w:tc>
        <w:tc>
          <w:tcPr>
            <w:tcW w:type="dxa" w:w="8064"/>
            <w:tcBorders>
              <w:top w:val="single" w:sz="6" w:color="C9D6DC"/>
              <w:left w:val="single" w:sz="6" w:color="C9D6DC"/>
              <w:bottom w:val="single" w:sz="6" w:color="C9D6DC"/>
              <w:right w:val="single" w:sz="6" w:color="C9D6DC"/>
            </w:tcBorders>
          </w:tcPr>
          <w:p>
            <w:pPr>
              <w:spacing w:after="20"/>
            </w:pPr>
            <w:r>
              <w:rPr>
                <w:b w:val="0"/>
                <w:color w:val="1C262B"/>
                <w:sz w:val="19"/>
              </w:rPr>
              <w:t>9 instructional days</w:t>
            </w:r>
          </w:p>
        </w:tc>
      </w:tr>
      <w:tr>
        <w:tc>
          <w:tcPr>
            <w:tcW w:type="dxa" w:w="2160"/>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§113.26</w:t>
            </w:r>
          </w:p>
        </w:tc>
        <w:tc>
          <w:tcPr>
            <w:tcW w:type="dxa" w:w="8064"/>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§113.26(d)(9)</w:t>
            </w:r>
          </w:p>
        </w:tc>
      </w:tr>
      <w:tr>
        <w:tc>
          <w:tcPr>
            <w:tcW w:type="dxa" w:w="2160"/>
            <w:tcBorders>
              <w:top w:val="single" w:sz="6" w:color="C9D6DC"/>
              <w:left w:val="single" w:sz="6" w:color="C9D6DC"/>
              <w:bottom w:val="single" w:sz="6" w:color="C9D6DC"/>
              <w:right w:val="single" w:sz="6" w:color="C9D6DC"/>
            </w:tcBorders>
          </w:tcPr>
          <w:p>
            <w:pPr>
              <w:spacing w:after="20"/>
            </w:pPr>
            <w:r>
              <w:rPr>
                <w:b w:val="0"/>
                <w:color w:val="1C262B"/>
                <w:sz w:val="19"/>
              </w:rPr>
              <w:t>Skills and content</w:t>
            </w:r>
          </w:p>
        </w:tc>
        <w:tc>
          <w:tcPr>
            <w:tcW w:type="dxa" w:w="8064"/>
            <w:tcBorders>
              <w:top w:val="single" w:sz="6" w:color="C9D6DC"/>
              <w:left w:val="single" w:sz="6" w:color="C9D6DC"/>
              <w:bottom w:val="single" w:sz="6" w:color="C9D6DC"/>
              <w:right w:val="single" w:sz="6" w:color="C9D6DC"/>
            </w:tcBorders>
          </w:tcPr>
          <w:p>
            <w:pPr>
              <w:spacing w:after="20"/>
            </w:pPr>
            <w:r>
              <w:rPr>
                <w:b w:val="0"/>
                <w:color w:val="1C262B"/>
                <w:sz w:val="19"/>
              </w:rPr>
              <w:t>Avoid, reduce, retain, transfer · premium, deductible, coinsurance and out-of-pocket maximum · auto, health, renters, life and disability · public programs · identity theft and fraud</w:t>
            </w:r>
          </w:p>
        </w:tc>
      </w:tr>
      <w:tr>
        <w:tc>
          <w:tcPr>
            <w:tcW w:type="dxa" w:w="2160"/>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Published lessons</w:t>
            </w:r>
          </w:p>
        </w:tc>
        <w:tc>
          <w:tcPr>
            <w:tcW w:type="dxa" w:w="8064"/>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Topic 10</w:t>
            </w:r>
          </w:p>
        </w:tc>
      </w:tr>
      <w:tr>
        <w:tc>
          <w:tcPr>
            <w:tcW w:type="dxa" w:w="2160"/>
            <w:tcBorders>
              <w:top w:val="single" w:sz="6" w:color="C9D6DC"/>
              <w:left w:val="single" w:sz="6" w:color="C9D6DC"/>
              <w:bottom w:val="single" w:sz="6" w:color="C9D6DC"/>
              <w:right w:val="single" w:sz="6" w:color="C9D6DC"/>
            </w:tcBorders>
          </w:tcPr>
          <w:p>
            <w:pPr>
              <w:spacing w:after="20"/>
            </w:pPr>
            <w:r>
              <w:rPr>
                <w:b w:val="0"/>
                <w:color w:val="1C262B"/>
                <w:sz w:val="19"/>
              </w:rPr>
              <w:t>Assessed by</w:t>
            </w:r>
          </w:p>
        </w:tc>
        <w:tc>
          <w:tcPr>
            <w:tcW w:type="dxa" w:w="8064"/>
            <w:tcBorders>
              <w:top w:val="single" w:sz="6" w:color="C9D6DC"/>
              <w:left w:val="single" w:sz="6" w:color="C9D6DC"/>
              <w:bottom w:val="single" w:sz="6" w:color="C9D6DC"/>
              <w:right w:val="single" w:sz="6" w:color="C9D6DC"/>
            </w:tcBorders>
          </w:tcPr>
          <w:p>
            <w:pPr>
              <w:spacing w:after="20"/>
            </w:pPr>
            <w:r>
              <w:rPr>
                <w:b w:val="0"/>
                <w:color w:val="1C262B"/>
                <w:sz w:val="19"/>
              </w:rPr>
              <w:t>Unit quiz, two versions · station activity · unit project</w:t>
            </w:r>
          </w:p>
        </w:tc>
      </w:tr>
    </w:tbl>
    <w:p>
      <w:pPr>
        <w:spacing w:after="40"/>
      </w:pPr>
    </w:p>
    <w:p>
      <w:pPr>
        <w:spacing w:before="200" w:after="60"/>
      </w:pPr>
      <w:r>
        <w:rPr>
          <w:b/>
          <w:color w:val="12796B"/>
          <w:sz w:val="23"/>
        </w:rPr>
        <w:t>Unit 10 · Entrepreneurship and Capstone</w:t>
      </w:r>
    </w:p>
    <w:tbl>
      <w:tblPr>
        <w:tblW w:type="auto" w:w="0"/>
        <w:jc w:val="left"/>
        <w:tblLook w:firstColumn="1" w:firstRow="1" w:lastColumn="0" w:lastRow="0" w:noHBand="0" w:noVBand="1" w:val="04A0"/>
      </w:tblPr>
      <w:tblGrid>
        <w:gridCol w:w="5112"/>
        <w:gridCol w:w="5112"/>
      </w:tblGrid>
      <w:tr>
        <w:tc>
          <w:tcPr>
            <w:tcW w:type="dxa" w:w="2160"/>
            <w:shd w:val="clear" w:fill="EAF2F4"/>
            <w:tcBorders>
              <w:top w:val="single" w:sz="6" w:color="C9D6DC"/>
              <w:left w:val="single" w:sz="6" w:color="C9D6DC"/>
              <w:bottom w:val="single" w:sz="6" w:color="C9D6DC"/>
              <w:right w:val="single" w:sz="6" w:color="C9D6DC"/>
            </w:tcBorders>
          </w:tcPr>
          <w:p>
            <w:pPr>
              <w:spacing w:after="20"/>
            </w:pPr>
            <w:r>
              <w:rPr>
                <w:b/>
                <w:color w:val="0F3D5C"/>
                <w:sz w:val="19"/>
              </w:rPr>
            </w:r>
          </w:p>
        </w:tc>
        <w:tc>
          <w:tcPr>
            <w:tcW w:type="dxa" w:w="8064"/>
            <w:shd w:val="clear" w:fill="EAF2F4"/>
            <w:tcBorders>
              <w:top w:val="single" w:sz="6" w:color="C9D6DC"/>
              <w:left w:val="single" w:sz="6" w:color="C9D6DC"/>
              <w:bottom w:val="single" w:sz="6" w:color="C9D6DC"/>
              <w:right w:val="single" w:sz="6" w:color="C9D6DC"/>
            </w:tcBorders>
          </w:tcPr>
          <w:p>
            <w:pPr>
              <w:spacing w:after="20"/>
            </w:pPr>
            <w:r>
              <w:rPr>
                <w:b/>
                <w:color w:val="0F3D5C"/>
                <w:sz w:val="19"/>
              </w:rPr>
            </w:r>
          </w:p>
        </w:tc>
      </w:tr>
      <w:tr>
        <w:tc>
          <w:tcPr>
            <w:tcW w:type="dxa" w:w="2160"/>
            <w:tcBorders>
              <w:top w:val="single" w:sz="6" w:color="C9D6DC"/>
              <w:left w:val="single" w:sz="6" w:color="C9D6DC"/>
              <w:bottom w:val="single" w:sz="6" w:color="C9D6DC"/>
              <w:right w:val="single" w:sz="6" w:color="C9D6DC"/>
            </w:tcBorders>
          </w:tcPr>
          <w:p>
            <w:pPr>
              <w:spacing w:after="20"/>
            </w:pPr>
            <w:r>
              <w:rPr>
                <w:b w:val="0"/>
                <w:color w:val="1C262B"/>
                <w:sz w:val="19"/>
              </w:rPr>
              <w:t>Days</w:t>
            </w:r>
          </w:p>
        </w:tc>
        <w:tc>
          <w:tcPr>
            <w:tcW w:type="dxa" w:w="8064"/>
            <w:tcBorders>
              <w:top w:val="single" w:sz="6" w:color="C9D6DC"/>
              <w:left w:val="single" w:sz="6" w:color="C9D6DC"/>
              <w:bottom w:val="single" w:sz="6" w:color="C9D6DC"/>
              <w:right w:val="single" w:sz="6" w:color="C9D6DC"/>
            </w:tcBorders>
          </w:tcPr>
          <w:p>
            <w:pPr>
              <w:spacing w:after="20"/>
            </w:pPr>
            <w:r>
              <w:rPr>
                <w:b w:val="0"/>
                <w:color w:val="1C262B"/>
                <w:sz w:val="19"/>
              </w:rPr>
              <w:t>6 instructional days</w:t>
            </w:r>
          </w:p>
        </w:tc>
      </w:tr>
      <w:tr>
        <w:tc>
          <w:tcPr>
            <w:tcW w:type="dxa" w:w="2160"/>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§113.26</w:t>
            </w:r>
          </w:p>
        </w:tc>
        <w:tc>
          <w:tcPr>
            <w:tcW w:type="dxa" w:w="8064"/>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§113.26(d)(10)</w:t>
            </w:r>
          </w:p>
        </w:tc>
      </w:tr>
      <w:tr>
        <w:tc>
          <w:tcPr>
            <w:tcW w:type="dxa" w:w="2160"/>
            <w:tcBorders>
              <w:top w:val="single" w:sz="6" w:color="C9D6DC"/>
              <w:left w:val="single" w:sz="6" w:color="C9D6DC"/>
              <w:bottom w:val="single" w:sz="6" w:color="C9D6DC"/>
              <w:right w:val="single" w:sz="6" w:color="C9D6DC"/>
            </w:tcBorders>
          </w:tcPr>
          <w:p>
            <w:pPr>
              <w:spacing w:after="20"/>
            </w:pPr>
            <w:r>
              <w:rPr>
                <w:b w:val="0"/>
                <w:color w:val="1C262B"/>
                <w:sz w:val="19"/>
              </w:rPr>
              <w:t>Skills and content</w:t>
            </w:r>
          </w:p>
        </w:tc>
        <w:tc>
          <w:tcPr>
            <w:tcW w:type="dxa" w:w="8064"/>
            <w:tcBorders>
              <w:top w:val="single" w:sz="6" w:color="C9D6DC"/>
              <w:left w:val="single" w:sz="6" w:color="C9D6DC"/>
              <w:bottom w:val="single" w:sz="6" w:color="C9D6DC"/>
              <w:right w:val="single" w:sz="6" w:color="C9D6DC"/>
            </w:tcBorders>
          </w:tcPr>
          <w:p>
            <w:pPr>
              <w:spacing w:after="20"/>
            </w:pPr>
            <w:r>
              <w:rPr>
                <w:b w:val="0"/>
                <w:color w:val="1C262B"/>
                <w:sz w:val="19"/>
              </w:rPr>
              <w:t>Opportunity recognition · profit and loss · self-employment and 1099 income · ownership structures · capstone: a complete personal financial plan</w:t>
            </w:r>
          </w:p>
        </w:tc>
      </w:tr>
      <w:tr>
        <w:tc>
          <w:tcPr>
            <w:tcW w:type="dxa" w:w="2160"/>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Assessed by</w:t>
            </w:r>
          </w:p>
        </w:tc>
        <w:tc>
          <w:tcPr>
            <w:tcW w:type="dxa" w:w="8064"/>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Unit quiz, two versions · station activity · unit project</w:t>
            </w:r>
          </w:p>
        </w:tc>
      </w:tr>
    </w:tbl>
    <w:p>
      <w:pPr>
        <w:spacing w:after="40"/>
      </w:pPr>
    </w:p>
    <w:p>
      <w:r>
        <w:br w:type="page"/>
      </w:r>
    </w:p>
    <w:p>
      <w:pPr>
        <w:spacing w:before="0" w:after="80"/>
      </w:pPr>
      <w:r>
        <w:rPr>
          <w:rFonts w:ascii="Calibri" w:hAnsi="Calibri"/>
          <w:b/>
          <w:color w:val="0F3D5C"/>
          <w:sz w:val="26"/>
        </w:rPr>
        <w:t>Four pacing options</w:t>
      </w:r>
    </w:p>
    <w:p>
      <w:pPr>
        <w:spacing w:after="120"/>
      </w:pPr>
      <w:r>
        <w:rPr>
          <w:b w:val="0"/>
          <w:i w:val="0"/>
          <w:color w:val="5C6B73"/>
          <w:sz w:val="21"/>
        </w:rPr>
        <w:t>Every school's calendar is different. A dated pacing calendar for each of these is included with the course, with a named lesson on each date — not a note suggesting which units to trim.</w:t>
      </w:r>
    </w:p>
    <w:tbl>
      <w:tblPr>
        <w:tblW w:type="auto" w:w="0"/>
        <w:jc w:val="left"/>
        <w:tblLook w:firstColumn="1" w:firstRow="1" w:lastColumn="0" w:lastRow="0" w:noHBand="0" w:noVBand="1" w:val="04A0"/>
      </w:tblPr>
      <w:tblGrid>
        <w:gridCol w:w="3408"/>
        <w:gridCol w:w="3408"/>
        <w:gridCol w:w="3408"/>
      </w:tblGrid>
      <w:tr>
        <w:tc>
          <w:tcPr>
            <w:tcW w:type="dxa" w:w="1296"/>
            <w:shd w:val="clear" w:fill="EAF2F4"/>
            <w:tcBorders>
              <w:top w:val="single" w:sz="6" w:color="C9D6DC"/>
              <w:left w:val="single" w:sz="6" w:color="C9D6DC"/>
              <w:bottom w:val="single" w:sz="6" w:color="C9D6DC"/>
              <w:right w:val="single" w:sz="6" w:color="C9D6DC"/>
            </w:tcBorders>
          </w:tcPr>
          <w:p>
            <w:pPr>
              <w:spacing w:after="20"/>
            </w:pPr>
            <w:r>
              <w:rPr>
                <w:b/>
                <w:color w:val="0F3D5C"/>
                <w:sz w:val="19"/>
              </w:rPr>
              <w:t>Calendar</w:t>
            </w:r>
          </w:p>
        </w:tc>
        <w:tc>
          <w:tcPr>
            <w:tcW w:type="dxa" w:w="4320"/>
            <w:shd w:val="clear" w:fill="EAF2F4"/>
            <w:tcBorders>
              <w:top w:val="single" w:sz="6" w:color="C9D6DC"/>
              <w:left w:val="single" w:sz="6" w:color="C9D6DC"/>
              <w:bottom w:val="single" w:sz="6" w:color="C9D6DC"/>
              <w:right w:val="single" w:sz="6" w:color="C9D6DC"/>
            </w:tcBorders>
          </w:tcPr>
          <w:p>
            <w:pPr>
              <w:spacing w:after="20"/>
            </w:pPr>
            <w:r>
              <w:rPr>
                <w:b/>
                <w:color w:val="0F3D5C"/>
                <w:sz w:val="19"/>
              </w:rPr>
              <w:t>Who it fits</w:t>
            </w:r>
          </w:p>
        </w:tc>
        <w:tc>
          <w:tcPr>
            <w:tcW w:type="dxa" w:w="4608"/>
            <w:shd w:val="clear" w:fill="EAF2F4"/>
            <w:tcBorders>
              <w:top w:val="single" w:sz="6" w:color="C9D6DC"/>
              <w:left w:val="single" w:sz="6" w:color="C9D6DC"/>
              <w:bottom w:val="single" w:sz="6" w:color="C9D6DC"/>
              <w:right w:val="single" w:sz="6" w:color="C9D6DC"/>
            </w:tcBorders>
          </w:tcPr>
          <w:p>
            <w:pPr>
              <w:spacing w:after="20"/>
            </w:pPr>
            <w:r>
              <w:rPr>
                <w:b/>
                <w:color w:val="0F3D5C"/>
                <w:sz w:val="19"/>
              </w:rPr>
              <w:t>What changes</w:t>
            </w:r>
          </w:p>
        </w:tc>
      </w:tr>
      <w:tr>
        <w:tc>
          <w:tcPr>
            <w:tcW w:type="dxa" w:w="1296"/>
            <w:tcBorders>
              <w:top w:val="single" w:sz="6" w:color="C9D6DC"/>
              <w:left w:val="single" w:sz="6" w:color="C9D6DC"/>
              <w:bottom w:val="single" w:sz="6" w:color="C9D6DC"/>
              <w:right w:val="single" w:sz="6" w:color="C9D6DC"/>
            </w:tcBorders>
          </w:tcPr>
          <w:p>
            <w:pPr>
              <w:spacing w:after="20"/>
            </w:pPr>
            <w:r>
              <w:rPr>
                <w:b w:val="0"/>
                <w:color w:val="1C262B"/>
                <w:sz w:val="19"/>
              </w:rPr>
              <w:t>90 days</w:t>
            </w:r>
          </w:p>
        </w:tc>
        <w:tc>
          <w:tcPr>
            <w:tcW w:type="dxa" w:w="4320"/>
            <w:tcBorders>
              <w:top w:val="single" w:sz="6" w:color="C9D6DC"/>
              <w:left w:val="single" w:sz="6" w:color="C9D6DC"/>
              <w:bottom w:val="single" w:sz="6" w:color="C9D6DC"/>
              <w:right w:val="single" w:sz="6" w:color="C9D6DC"/>
            </w:tcBorders>
          </w:tcPr>
          <w:p>
            <w:pPr>
              <w:spacing w:after="20"/>
            </w:pPr>
            <w:r>
              <w:rPr>
                <w:b w:val="0"/>
                <w:color w:val="1C262B"/>
                <w:sz w:val="19"/>
              </w:rPr>
              <w:t>A full traditional semester, one 45–55 minute period a day</w:t>
            </w:r>
          </w:p>
        </w:tc>
        <w:tc>
          <w:tcPr>
            <w:tcW w:type="dxa" w:w="4608"/>
            <w:tcBorders>
              <w:top w:val="single" w:sz="6" w:color="C9D6DC"/>
              <w:left w:val="single" w:sz="6" w:color="C9D6DC"/>
              <w:bottom w:val="single" w:sz="6" w:color="C9D6DC"/>
              <w:right w:val="single" w:sz="6" w:color="C9D6DC"/>
            </w:tcBorders>
          </w:tcPr>
          <w:p>
            <w:pPr>
              <w:spacing w:after="20"/>
            </w:pPr>
            <w:r>
              <w:rPr>
                <w:b w:val="0"/>
                <w:color w:val="1C262B"/>
                <w:sz w:val="19"/>
              </w:rPr>
              <w:t>Every unit at full depth, with station activities and capstone</w:t>
            </w:r>
          </w:p>
        </w:tc>
      </w:tr>
      <w:tr>
        <w:tc>
          <w:tcPr>
            <w:tcW w:type="dxa" w:w="1296"/>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75 days</w:t>
            </w:r>
          </w:p>
        </w:tc>
        <w:tc>
          <w:tcPr>
            <w:tcW w:type="dxa" w:w="4320"/>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A semester with testing days, assemblies and a short calendar</w:t>
            </w:r>
          </w:p>
        </w:tc>
        <w:tc>
          <w:tcPr>
            <w:tcW w:type="dxa" w:w="4608"/>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Full content, station activities trimmed to two per unit</w:t>
            </w:r>
          </w:p>
        </w:tc>
      </w:tr>
      <w:tr>
        <w:tc>
          <w:tcPr>
            <w:tcW w:type="dxa" w:w="1296"/>
            <w:tcBorders>
              <w:top w:val="single" w:sz="6" w:color="C9D6DC"/>
              <w:left w:val="single" w:sz="6" w:color="C9D6DC"/>
              <w:bottom w:val="single" w:sz="6" w:color="C9D6DC"/>
              <w:right w:val="single" w:sz="6" w:color="C9D6DC"/>
            </w:tcBorders>
          </w:tcPr>
          <w:p>
            <w:pPr>
              <w:spacing w:after="20"/>
            </w:pPr>
            <w:r>
              <w:rPr>
                <w:b w:val="0"/>
                <w:color w:val="1C262B"/>
                <w:sz w:val="19"/>
              </w:rPr>
              <w:t>60 days</w:t>
            </w:r>
          </w:p>
        </w:tc>
        <w:tc>
          <w:tcPr>
            <w:tcW w:type="dxa" w:w="4320"/>
            <w:tcBorders>
              <w:top w:val="single" w:sz="6" w:color="C9D6DC"/>
              <w:left w:val="single" w:sz="6" w:color="C9D6DC"/>
              <w:bottom w:val="single" w:sz="6" w:color="C9D6DC"/>
              <w:right w:val="single" w:sz="6" w:color="C9D6DC"/>
            </w:tcBorders>
          </w:tcPr>
          <w:p>
            <w:pPr>
              <w:spacing w:after="20"/>
            </w:pPr>
            <w:r>
              <w:rPr>
                <w:b w:val="0"/>
                <w:color w:val="1C262B"/>
                <w:sz w:val="19"/>
              </w:rPr>
              <w:t>A trimester, or a semester sharing time with another course</w:t>
            </w:r>
          </w:p>
        </w:tc>
        <w:tc>
          <w:tcPr>
            <w:tcW w:type="dxa" w:w="4608"/>
            <w:tcBorders>
              <w:top w:val="single" w:sz="6" w:color="C9D6DC"/>
              <w:left w:val="single" w:sz="6" w:color="C9D6DC"/>
              <w:bottom w:val="single" w:sz="6" w:color="C9D6DC"/>
              <w:right w:val="single" w:sz="6" w:color="C9D6DC"/>
            </w:tcBorders>
          </w:tcPr>
          <w:p>
            <w:pPr>
              <w:spacing w:after="20"/>
            </w:pPr>
            <w:r>
              <w:rPr>
                <w:b w:val="0"/>
                <w:color w:val="1C262B"/>
                <w:sz w:val="19"/>
              </w:rPr>
              <w:t>Core lessons and assessments; projects reduced to one per unit</w:t>
            </w:r>
          </w:p>
        </w:tc>
      </w:tr>
      <w:tr>
        <w:tc>
          <w:tcPr>
            <w:tcW w:type="dxa" w:w="1296"/>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45 days</w:t>
            </w:r>
          </w:p>
        </w:tc>
        <w:tc>
          <w:tcPr>
            <w:tcW w:type="dxa" w:w="4320"/>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A nine-week grading period or an embedded requirement</w:t>
            </w:r>
          </w:p>
        </w:tc>
        <w:tc>
          <w:tcPr>
            <w:tcW w:type="dxa" w:w="4608"/>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Essential lessons only; the capstone becomes a single-day task</w:t>
            </w:r>
          </w:p>
        </w:tc>
      </w:tr>
    </w:tbl>
    <w:p>
      <w:pPr>
        <w:spacing w:after="40"/>
      </w:pPr>
    </w:p>
    <w:p>
      <w:pPr>
        <w:spacing w:before="240" w:after="80"/>
      </w:pPr>
      <w:r>
        <w:rPr>
          <w:rFonts w:ascii="Calibri" w:hAnsi="Calibri"/>
          <w:b/>
          <w:color w:val="0F3D5C"/>
          <w:sz w:val="26"/>
        </w:rPr>
        <w:t>What is assessed, and how</w:t>
      </w:r>
    </w:p>
    <w:tbl>
      <w:tblPr>
        <w:tblW w:type="auto" w:w="0"/>
        <w:jc w:val="left"/>
        <w:tblLook w:firstColumn="1" w:firstRow="1" w:lastColumn="0" w:lastRow="0" w:noHBand="0" w:noVBand="1" w:val="04A0"/>
      </w:tblPr>
      <w:tblGrid>
        <w:gridCol w:w="3408"/>
        <w:gridCol w:w="3408"/>
        <w:gridCol w:w="3408"/>
      </w:tblGrid>
      <w:tr>
        <w:tc>
          <w:tcPr>
            <w:tcW w:type="dxa" w:w="2160"/>
            <w:shd w:val="clear" w:fill="EAF2F4"/>
            <w:tcBorders>
              <w:top w:val="single" w:sz="6" w:color="C9D6DC"/>
              <w:left w:val="single" w:sz="6" w:color="C9D6DC"/>
              <w:bottom w:val="single" w:sz="6" w:color="C9D6DC"/>
              <w:right w:val="single" w:sz="6" w:color="C9D6DC"/>
            </w:tcBorders>
          </w:tcPr>
          <w:p>
            <w:pPr>
              <w:spacing w:after="20"/>
            </w:pPr>
            <w:r>
              <w:rPr>
                <w:b/>
                <w:color w:val="0F3D5C"/>
                <w:sz w:val="19"/>
              </w:rPr>
              <w:t>Assessment</w:t>
            </w:r>
          </w:p>
        </w:tc>
        <w:tc>
          <w:tcPr>
            <w:tcW w:type="dxa" w:w="2736"/>
            <w:shd w:val="clear" w:fill="EAF2F4"/>
            <w:tcBorders>
              <w:top w:val="single" w:sz="6" w:color="C9D6DC"/>
              <w:left w:val="single" w:sz="6" w:color="C9D6DC"/>
              <w:bottom w:val="single" w:sz="6" w:color="C9D6DC"/>
              <w:right w:val="single" w:sz="6" w:color="C9D6DC"/>
            </w:tcBorders>
          </w:tcPr>
          <w:p>
            <w:pPr>
              <w:spacing w:after="20"/>
            </w:pPr>
            <w:r>
              <w:rPr>
                <w:b/>
                <w:color w:val="0F3D5C"/>
                <w:sz w:val="19"/>
              </w:rPr>
              <w:t>When</w:t>
            </w:r>
          </w:p>
        </w:tc>
        <w:tc>
          <w:tcPr>
            <w:tcW w:type="dxa" w:w="5328"/>
            <w:shd w:val="clear" w:fill="EAF2F4"/>
            <w:tcBorders>
              <w:top w:val="single" w:sz="6" w:color="C9D6DC"/>
              <w:left w:val="single" w:sz="6" w:color="C9D6DC"/>
              <w:bottom w:val="single" w:sz="6" w:color="C9D6DC"/>
              <w:right w:val="single" w:sz="6" w:color="C9D6DC"/>
            </w:tcBorders>
          </w:tcPr>
          <w:p>
            <w:pPr>
              <w:spacing w:after="20"/>
            </w:pPr>
            <w:r>
              <w:rPr>
                <w:b/>
                <w:color w:val="0F3D5C"/>
                <w:sz w:val="19"/>
              </w:rPr>
              <w:t>Format</w:t>
            </w:r>
          </w:p>
        </w:tc>
      </w:tr>
      <w:tr>
        <w:tc>
          <w:tcPr>
            <w:tcW w:type="dxa" w:w="2160"/>
            <w:tcBorders>
              <w:top w:val="single" w:sz="6" w:color="C9D6DC"/>
              <w:left w:val="single" w:sz="6" w:color="C9D6DC"/>
              <w:bottom w:val="single" w:sz="6" w:color="C9D6DC"/>
              <w:right w:val="single" w:sz="6" w:color="C9D6DC"/>
            </w:tcBorders>
          </w:tcPr>
          <w:p>
            <w:pPr>
              <w:spacing w:after="20"/>
            </w:pPr>
            <w:r>
              <w:rPr>
                <w:b w:val="0"/>
                <w:color w:val="1C262B"/>
                <w:sz w:val="19"/>
              </w:rPr>
              <w:t>Diagnostic</w:t>
            </w:r>
          </w:p>
        </w:tc>
        <w:tc>
          <w:tcPr>
            <w:tcW w:type="dxa" w:w="2736"/>
            <w:tcBorders>
              <w:top w:val="single" w:sz="6" w:color="C9D6DC"/>
              <w:left w:val="single" w:sz="6" w:color="C9D6DC"/>
              <w:bottom w:val="single" w:sz="6" w:color="C9D6DC"/>
              <w:right w:val="single" w:sz="6" w:color="C9D6DC"/>
            </w:tcBorders>
          </w:tcPr>
          <w:p>
            <w:pPr>
              <w:spacing w:after="20"/>
            </w:pPr>
            <w:r>
              <w:rPr>
                <w:b w:val="0"/>
                <w:color w:val="1C262B"/>
                <w:sz w:val="19"/>
              </w:rPr>
              <w:t>Day 1</w:t>
            </w:r>
          </w:p>
        </w:tc>
        <w:tc>
          <w:tcPr>
            <w:tcW w:type="dxa" w:w="5328"/>
            <w:tcBorders>
              <w:top w:val="single" w:sz="6" w:color="C9D6DC"/>
              <w:left w:val="single" w:sz="6" w:color="C9D6DC"/>
              <w:bottom w:val="single" w:sz="6" w:color="C9D6DC"/>
              <w:right w:val="single" w:sz="6" w:color="C9D6DC"/>
            </w:tcBorders>
          </w:tcPr>
          <w:p>
            <w:pPr>
              <w:spacing w:after="20"/>
            </w:pPr>
            <w:r>
              <w:rPr>
                <w:b w:val="0"/>
                <w:color w:val="1C262B"/>
                <w:sz w:val="19"/>
              </w:rPr>
              <w:t>Pre-course, ungraded, used to group students</w:t>
            </w:r>
          </w:p>
        </w:tc>
      </w:tr>
      <w:tr>
        <w:tc>
          <w:tcPr>
            <w:tcW w:type="dxa" w:w="2160"/>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Unit quizzes</w:t>
            </w:r>
          </w:p>
        </w:tc>
        <w:tc>
          <w:tcPr>
            <w:tcW w:type="dxa" w:w="2736"/>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End of each unit</w:t>
            </w:r>
          </w:p>
        </w:tc>
        <w:tc>
          <w:tcPr>
            <w:tcW w:type="dxa" w:w="5328"/>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Two parallel versions, 20 points, editable</w:t>
            </w:r>
          </w:p>
        </w:tc>
      </w:tr>
      <w:tr>
        <w:tc>
          <w:tcPr>
            <w:tcW w:type="dxa" w:w="2160"/>
            <w:tcBorders>
              <w:top w:val="single" w:sz="6" w:color="C9D6DC"/>
              <w:left w:val="single" w:sz="6" w:color="C9D6DC"/>
              <w:bottom w:val="single" w:sz="6" w:color="C9D6DC"/>
              <w:right w:val="single" w:sz="6" w:color="C9D6DC"/>
            </w:tcBorders>
          </w:tcPr>
          <w:p>
            <w:pPr>
              <w:spacing w:after="20"/>
            </w:pPr>
            <w:r>
              <w:rPr>
                <w:b w:val="0"/>
                <w:color w:val="1C262B"/>
                <w:sz w:val="19"/>
              </w:rPr>
              <w:t>Station activities</w:t>
            </w:r>
          </w:p>
        </w:tc>
        <w:tc>
          <w:tcPr>
            <w:tcW w:type="dxa" w:w="2736"/>
            <w:tcBorders>
              <w:top w:val="single" w:sz="6" w:color="C9D6DC"/>
              <w:left w:val="single" w:sz="6" w:color="C9D6DC"/>
              <w:bottom w:val="single" w:sz="6" w:color="C9D6DC"/>
              <w:right w:val="single" w:sz="6" w:color="C9D6DC"/>
            </w:tcBorders>
          </w:tcPr>
          <w:p>
            <w:pPr>
              <w:spacing w:after="20"/>
            </w:pPr>
            <w:r>
              <w:rPr>
                <w:b w:val="0"/>
                <w:color w:val="1C262B"/>
                <w:sz w:val="19"/>
              </w:rPr>
              <w:t>Within each unit</w:t>
            </w:r>
          </w:p>
        </w:tc>
        <w:tc>
          <w:tcPr>
            <w:tcW w:type="dxa" w:w="5328"/>
            <w:tcBorders>
              <w:top w:val="single" w:sz="6" w:color="C9D6DC"/>
              <w:left w:val="single" w:sz="6" w:color="C9D6DC"/>
              <w:bottom w:val="single" w:sz="6" w:color="C9D6DC"/>
              <w:right w:val="single" w:sz="6" w:color="C9D6DC"/>
            </w:tcBorders>
          </w:tcPr>
          <w:p>
            <w:pPr>
              <w:spacing w:after="20"/>
            </w:pPr>
            <w:r>
              <w:rPr>
                <w:b w:val="0"/>
                <w:color w:val="1C262B"/>
                <w:sz w:val="19"/>
              </w:rPr>
              <w:t>Group diagnosis or error-correction, no devices</w:t>
            </w:r>
          </w:p>
        </w:tc>
      </w:tr>
      <w:tr>
        <w:tc>
          <w:tcPr>
            <w:tcW w:type="dxa" w:w="2160"/>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Unit projects</w:t>
            </w:r>
          </w:p>
        </w:tc>
        <w:tc>
          <w:tcPr>
            <w:tcW w:type="dxa" w:w="2736"/>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Within each unit</w:t>
            </w:r>
          </w:p>
        </w:tc>
        <w:tc>
          <w:tcPr>
            <w:tcW w:type="dxa" w:w="5328"/>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Applied task producing an artifact the student keeps</w:t>
            </w:r>
          </w:p>
        </w:tc>
      </w:tr>
      <w:tr>
        <w:tc>
          <w:tcPr>
            <w:tcW w:type="dxa" w:w="2160"/>
            <w:tcBorders>
              <w:top w:val="single" w:sz="6" w:color="C9D6DC"/>
              <w:left w:val="single" w:sz="6" w:color="C9D6DC"/>
              <w:bottom w:val="single" w:sz="6" w:color="C9D6DC"/>
              <w:right w:val="single" w:sz="6" w:color="C9D6DC"/>
            </w:tcBorders>
          </w:tcPr>
          <w:p>
            <w:pPr>
              <w:spacing w:after="20"/>
            </w:pPr>
            <w:r>
              <w:rPr>
                <w:b w:val="0"/>
                <w:color w:val="1C262B"/>
                <w:sz w:val="19"/>
              </w:rPr>
              <w:t>Midterm</w:t>
            </w:r>
          </w:p>
        </w:tc>
        <w:tc>
          <w:tcPr>
            <w:tcW w:type="dxa" w:w="2736"/>
            <w:tcBorders>
              <w:top w:val="single" w:sz="6" w:color="C9D6DC"/>
              <w:left w:val="single" w:sz="6" w:color="C9D6DC"/>
              <w:bottom w:val="single" w:sz="6" w:color="C9D6DC"/>
              <w:right w:val="single" w:sz="6" w:color="C9D6DC"/>
            </w:tcBorders>
          </w:tcPr>
          <w:p>
            <w:pPr>
              <w:spacing w:after="20"/>
            </w:pPr>
            <w:r>
              <w:rPr>
                <w:b w:val="0"/>
                <w:color w:val="1C262B"/>
                <w:sz w:val="19"/>
              </w:rPr>
              <w:t>After Unit 5</w:t>
            </w:r>
          </w:p>
        </w:tc>
        <w:tc>
          <w:tcPr>
            <w:tcW w:type="dxa" w:w="5328"/>
            <w:tcBorders>
              <w:top w:val="single" w:sz="6" w:color="C9D6DC"/>
              <w:left w:val="single" w:sz="6" w:color="C9D6DC"/>
              <w:bottom w:val="single" w:sz="6" w:color="C9D6DC"/>
              <w:right w:val="single" w:sz="6" w:color="C9D6DC"/>
            </w:tcBorders>
          </w:tcPr>
          <w:p>
            <w:pPr>
              <w:spacing w:after="20"/>
            </w:pPr>
            <w:r>
              <w:rPr>
                <w:b w:val="0"/>
                <w:color w:val="1C262B"/>
                <w:sz w:val="19"/>
              </w:rPr>
              <w:t>Two versions, cumulative</w:t>
            </w:r>
          </w:p>
        </w:tc>
      </w:tr>
      <w:tr>
        <w:tc>
          <w:tcPr>
            <w:tcW w:type="dxa" w:w="2160"/>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Final exam</w:t>
            </w:r>
          </w:p>
        </w:tc>
        <w:tc>
          <w:tcPr>
            <w:tcW w:type="dxa" w:w="2736"/>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End of course</w:t>
            </w:r>
          </w:p>
        </w:tc>
        <w:tc>
          <w:tcPr>
            <w:tcW w:type="dxa" w:w="5328"/>
            <w:tcBorders>
              <w:top w:val="single" w:sz="6" w:color="C9D6DC"/>
              <w:left w:val="single" w:sz="6" w:color="C9D6DC"/>
              <w:bottom w:val="single" w:sz="6" w:color="C9D6DC"/>
              <w:right w:val="single" w:sz="6" w:color="C9D6DC"/>
            </w:tcBorders>
            <w:shd w:val="clear" w:fill="F4F8F9"/>
          </w:tcPr>
          <w:p>
            <w:pPr>
              <w:spacing w:after="20"/>
            </w:pPr>
            <w:r>
              <w:rPr>
                <w:b w:val="0"/>
                <w:color w:val="1C262B"/>
                <w:sz w:val="19"/>
              </w:rPr>
              <w:t>Two versions, cumulative</w:t>
            </w:r>
          </w:p>
        </w:tc>
      </w:tr>
      <w:tr>
        <w:tc>
          <w:tcPr>
            <w:tcW w:type="dxa" w:w="2160"/>
            <w:tcBorders>
              <w:top w:val="single" w:sz="6" w:color="C9D6DC"/>
              <w:left w:val="single" w:sz="6" w:color="C9D6DC"/>
              <w:bottom w:val="single" w:sz="6" w:color="C9D6DC"/>
              <w:right w:val="single" w:sz="6" w:color="C9D6DC"/>
            </w:tcBorders>
          </w:tcPr>
          <w:p>
            <w:pPr>
              <w:spacing w:after="20"/>
            </w:pPr>
            <w:r>
              <w:rPr>
                <w:b w:val="0"/>
                <w:color w:val="1C262B"/>
                <w:sz w:val="19"/>
              </w:rPr>
              <w:t>Capstone</w:t>
            </w:r>
          </w:p>
        </w:tc>
        <w:tc>
          <w:tcPr>
            <w:tcW w:type="dxa" w:w="2736"/>
            <w:tcBorders>
              <w:top w:val="single" w:sz="6" w:color="C9D6DC"/>
              <w:left w:val="single" w:sz="6" w:color="C9D6DC"/>
              <w:bottom w:val="single" w:sz="6" w:color="C9D6DC"/>
              <w:right w:val="single" w:sz="6" w:color="C9D6DC"/>
            </w:tcBorders>
          </w:tcPr>
          <w:p>
            <w:pPr>
              <w:spacing w:after="20"/>
            </w:pPr>
            <w:r>
              <w:rPr>
                <w:b w:val="0"/>
                <w:color w:val="1C262B"/>
                <w:sz w:val="19"/>
              </w:rPr>
              <w:t>Unit 10</w:t>
            </w:r>
          </w:p>
        </w:tc>
        <w:tc>
          <w:tcPr>
            <w:tcW w:type="dxa" w:w="5328"/>
            <w:tcBorders>
              <w:top w:val="single" w:sz="6" w:color="C9D6DC"/>
              <w:left w:val="single" w:sz="6" w:color="C9D6DC"/>
              <w:bottom w:val="single" w:sz="6" w:color="C9D6DC"/>
              <w:right w:val="single" w:sz="6" w:color="C9D6DC"/>
            </w:tcBorders>
          </w:tcPr>
          <w:p>
            <w:pPr>
              <w:spacing w:after="20"/>
            </w:pPr>
            <w:r>
              <w:rPr>
                <w:b w:val="0"/>
                <w:color w:val="1C262B"/>
                <w:sz w:val="19"/>
              </w:rPr>
              <w:t>A complete personal financial plan built across the semester</w:t>
            </w:r>
          </w:p>
        </w:tc>
      </w:tr>
    </w:tbl>
    <w:p>
      <w:pPr>
        <w:spacing w:after="40"/>
      </w:pPr>
    </w:p>
    <w:p>
      <w:pPr>
        <w:spacing w:before="240" w:after="80"/>
      </w:pPr>
      <w:r>
        <w:rPr>
          <w:rFonts w:ascii="Calibri" w:hAnsi="Calibri"/>
          <w:b/>
          <w:color w:val="0F3D5C"/>
          <w:sz w:val="26"/>
        </w:rPr>
        <w:t>Materials and access</w:t>
      </w:r>
    </w:p>
    <w:p>
      <w:pPr>
        <w:pStyle w:val="ListBullet"/>
        <w:spacing w:after="60"/>
      </w:pPr>
      <w:r>
        <w:rPr>
          <w:rFonts w:ascii="Calibri" w:hAnsi="Calibri"/>
          <w:color w:val="1C262B"/>
          <w:sz w:val="21"/>
        </w:rPr>
        <w:t>Every student page prints. No device, login or internet connection is required for any lesson.</w:t>
      </w:r>
    </w:p>
    <w:p>
      <w:pPr>
        <w:pStyle w:val="ListBullet"/>
        <w:spacing w:after="60"/>
      </w:pPr>
      <w:r>
        <w:rPr>
          <w:rFonts w:ascii="Calibri" w:hAnsi="Calibri"/>
          <w:color w:val="1C262B"/>
          <w:sz w:val="21"/>
        </w:rPr>
        <w:t>Every file ships as an editable .docx or .pptx alongside a print-ready PDF.</w:t>
      </w:r>
    </w:p>
    <w:p>
      <w:pPr>
        <w:pStyle w:val="ListBullet"/>
        <w:spacing w:after="60"/>
      </w:pPr>
      <w:r>
        <w:rPr>
          <w:rFonts w:ascii="Calibri" w:hAnsi="Calibri"/>
          <w:color w:val="1C262B"/>
          <w:sz w:val="21"/>
        </w:rPr>
        <w:t>Answer keys are included in the download — no account verification and no waiting.</w:t>
      </w:r>
    </w:p>
    <w:p>
      <w:pPr>
        <w:pStyle w:val="ListBullet"/>
        <w:spacing w:after="60"/>
      </w:pPr>
      <w:r>
        <w:rPr>
          <w:rFonts w:ascii="Calibri" w:hAnsi="Calibri"/>
          <w:color w:val="1C262B"/>
          <w:sz w:val="21"/>
        </w:rPr>
        <w:t>Activities are written for phone-free classrooms. Nothing depends on a QR code, a phone calculator or a student device.</w:t>
      </w:r>
    </w:p>
    <w:p>
      <w:pPr>
        <w:pStyle w:val="ListBullet"/>
        <w:spacing w:after="60"/>
      </w:pPr>
      <w:r>
        <w:rPr>
          <w:rFonts w:ascii="Calibri" w:hAnsi="Calibri"/>
          <w:color w:val="1C262B"/>
          <w:sz w:val="21"/>
        </w:rPr>
        <w:t>Reading levels: standard notes sit at grade 9–10, scaffolded notes and sub days at roughly grade 7.</w:t>
      </w:r>
    </w:p>
    <w:p>
      <w:r>
        <w:br w:type="page"/>
      </w:r>
    </w:p>
    <w:p>
      <w:pPr>
        <w:spacing w:before="0" w:after="80"/>
      </w:pPr>
      <w:r>
        <w:rPr>
          <w:rFonts w:ascii="Calibri" w:hAnsi="Calibri"/>
          <w:b/>
          <w:color w:val="0F3D5C"/>
          <w:sz w:val="26"/>
        </w:rPr>
        <w:t>What the full course contains</w:t>
      </w:r>
    </w:p>
    <w:p>
      <w:pPr>
        <w:spacing w:after="120"/>
      </w:pPr>
      <w:r>
        <w:rPr>
          <w:b w:val="0"/>
          <w:i/>
          <w:color w:val="5C6B73"/>
          <w:sz w:val="21"/>
        </w:rPr>
        <w:t>This document is free and complete on its own. If it is useful, the course it describes is built the same way.</w:t>
      </w:r>
    </w:p>
    <w:tbl>
      <w:tblPr>
        <w:tblW w:type="auto" w:w="0"/>
        <w:jc w:val="left"/>
        <w:tblLook w:firstColumn="1" w:firstRow="1" w:lastColumn="0" w:lastRow="0" w:noHBand="0" w:noVBand="1" w:val="04A0"/>
      </w:tblPr>
      <w:tblGrid>
        <w:gridCol w:w="5112"/>
        <w:gridCol w:w="5112"/>
      </w:tblGrid>
      <w:tr>
        <w:tc>
          <w:tcPr>
            <w:tcW w:type="dxa" w:w="2736"/>
            <w:shd w:val="clear" w:fill="EAF2F4"/>
            <w:tcBorders>
              <w:top w:val="single" w:sz="6" w:color="C9D6DC"/>
              <w:left w:val="single" w:sz="6" w:color="C9D6DC"/>
              <w:bottom w:val="single" w:sz="6" w:color="C9D6DC"/>
              <w:right w:val="single" w:sz="6" w:color="C9D6DC"/>
            </w:tcBorders>
          </w:tcPr>
          <w:p>
            <w:pPr>
              <w:spacing w:after="20"/>
            </w:pPr>
            <w:r>
              <w:rPr>
                <w:b/>
                <w:color w:val="0F3D5C"/>
                <w:sz w:val="20"/>
              </w:rPr>
              <w:t>Every unit includes</w:t>
            </w:r>
          </w:p>
        </w:tc>
        <w:tc>
          <w:tcPr>
            <w:tcW w:type="dxa" w:w="7488"/>
            <w:shd w:val="clear" w:fill="EAF2F4"/>
            <w:tcBorders>
              <w:top w:val="single" w:sz="6" w:color="C9D6DC"/>
              <w:left w:val="single" w:sz="6" w:color="C9D6DC"/>
              <w:bottom w:val="single" w:sz="6" w:color="C9D6DC"/>
              <w:right w:val="single" w:sz="6" w:color="C9D6DC"/>
            </w:tcBorders>
          </w:tcPr>
          <w:p>
            <w:pPr>
              <w:spacing w:after="20"/>
            </w:pPr>
            <w:r>
              <w:rPr>
                <w:b/>
                <w:color w:val="0F3D5C"/>
                <w:sz w:val="20"/>
              </w:rPr>
              <w:t>What it is</w:t>
            </w:r>
          </w:p>
        </w:tc>
      </w:tr>
      <w:tr>
        <w:tc>
          <w:tcPr>
            <w:tcW w:type="dxa" w:w="2736"/>
            <w:tcBorders>
              <w:top w:val="single" w:sz="6" w:color="C9D6DC"/>
              <w:left w:val="single" w:sz="6" w:color="C9D6DC"/>
              <w:bottom w:val="single" w:sz="6" w:color="C9D6DC"/>
              <w:right w:val="single" w:sz="6" w:color="C9D6DC"/>
            </w:tcBorders>
          </w:tcPr>
          <w:p>
            <w:pPr>
              <w:spacing w:after="20"/>
            </w:pPr>
            <w:r>
              <w:rPr>
                <w:b w:val="0"/>
                <w:color w:val="1C262B"/>
                <w:sz w:val="20"/>
              </w:rPr>
              <w:t>Slides</w:t>
            </w:r>
          </w:p>
        </w:tc>
        <w:tc>
          <w:tcPr>
            <w:tcW w:type="dxa" w:w="7488"/>
            <w:tcBorders>
              <w:top w:val="single" w:sz="6" w:color="C9D6DC"/>
              <w:left w:val="single" w:sz="6" w:color="C9D6DC"/>
              <w:bottom w:val="single" w:sz="6" w:color="C9D6DC"/>
              <w:right w:val="single" w:sz="6" w:color="C9D6DC"/>
            </w:tcBorders>
          </w:tcPr>
          <w:p>
            <w:pPr>
              <w:spacing w:after="20"/>
            </w:pPr>
            <w:r>
              <w:rPr>
                <w:b w:val="0"/>
                <w:color w:val="1C262B"/>
                <w:sz w:val="20"/>
              </w:rPr>
              <w:t>Teaching sequence with read-aloud teacher script in every speaker note</w:t>
            </w:r>
          </w:p>
        </w:tc>
      </w:tr>
      <w:tr>
        <w:tc>
          <w:tcPr>
            <w:tcW w:type="dxa" w:w="2736"/>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Guided notes, two levels</w:t>
            </w:r>
          </w:p>
        </w:tc>
        <w:tc>
          <w:tcPr>
            <w:tcW w:type="dxa" w:w="7488"/>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Standard and scaffolded, so one lesson serves the whole room</w:t>
            </w:r>
          </w:p>
        </w:tc>
      </w:tr>
      <w:tr>
        <w:tc>
          <w:tcPr>
            <w:tcW w:type="dxa" w:w="2736"/>
            <w:tcBorders>
              <w:top w:val="single" w:sz="6" w:color="C9D6DC"/>
              <w:left w:val="single" w:sz="6" w:color="C9D6DC"/>
              <w:bottom w:val="single" w:sz="6" w:color="C9D6DC"/>
              <w:right w:val="single" w:sz="6" w:color="C9D6DC"/>
            </w:tcBorders>
          </w:tcPr>
          <w:p>
            <w:pPr>
              <w:spacing w:after="20"/>
            </w:pPr>
            <w:r>
              <w:rPr>
                <w:b w:val="0"/>
                <w:color w:val="1C262B"/>
                <w:sz w:val="20"/>
              </w:rPr>
              <w:t>Print student packet</w:t>
            </w:r>
          </w:p>
        </w:tc>
        <w:tc>
          <w:tcPr>
            <w:tcW w:type="dxa" w:w="7488"/>
            <w:tcBorders>
              <w:top w:val="single" w:sz="6" w:color="C9D6DC"/>
              <w:left w:val="single" w:sz="6" w:color="C9D6DC"/>
              <w:bottom w:val="single" w:sz="6" w:color="C9D6DC"/>
              <w:right w:val="single" w:sz="6" w:color="C9D6DC"/>
            </w:tcBorders>
          </w:tcPr>
          <w:p>
            <w:pPr>
              <w:spacing w:after="20"/>
            </w:pPr>
            <w:r>
              <w:rPr>
                <w:b w:val="0"/>
                <w:color w:val="1C262B"/>
                <w:sz w:val="20"/>
              </w:rPr>
              <w:t>The unit as a consumable booklet. No device required.</w:t>
            </w:r>
          </w:p>
        </w:tc>
      </w:tr>
      <w:tr>
        <w:tc>
          <w:tcPr>
            <w:tcW w:type="dxa" w:w="2736"/>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No-device station activity</w:t>
            </w:r>
          </w:p>
        </w:tc>
        <w:tc>
          <w:tcPr>
            <w:tcW w:type="dxa" w:w="7488"/>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Groups diagnose or correct a realistic document</w:t>
            </w:r>
          </w:p>
        </w:tc>
      </w:tr>
      <w:tr>
        <w:tc>
          <w:tcPr>
            <w:tcW w:type="dxa" w:w="2736"/>
            <w:tcBorders>
              <w:top w:val="single" w:sz="6" w:color="C9D6DC"/>
              <w:left w:val="single" w:sz="6" w:color="C9D6DC"/>
              <w:bottom w:val="single" w:sz="6" w:color="C9D6DC"/>
              <w:right w:val="single" w:sz="6" w:color="C9D6DC"/>
            </w:tcBorders>
          </w:tcPr>
          <w:p>
            <w:pPr>
              <w:spacing w:after="20"/>
            </w:pPr>
            <w:r>
              <w:rPr>
                <w:b w:val="0"/>
                <w:color w:val="1C262B"/>
                <w:sz w:val="20"/>
              </w:rPr>
              <w:t>Emergency sub day</w:t>
            </w:r>
          </w:p>
        </w:tc>
        <w:tc>
          <w:tcPr>
            <w:tcW w:type="dxa" w:w="7488"/>
            <w:tcBorders>
              <w:top w:val="single" w:sz="6" w:color="C9D6DC"/>
              <w:left w:val="single" w:sz="6" w:color="C9D6DC"/>
              <w:bottom w:val="single" w:sz="6" w:color="C9D6DC"/>
              <w:right w:val="single" w:sz="6" w:color="C9D6DC"/>
            </w:tcBorders>
          </w:tcPr>
          <w:p>
            <w:pPr>
              <w:spacing w:after="20"/>
            </w:pPr>
            <w:r>
              <w:rPr>
                <w:b w:val="0"/>
                <w:color w:val="1C262B"/>
                <w:sz w:val="20"/>
              </w:rPr>
              <w:t>One self-contained period any adult can run cold</w:t>
            </w:r>
          </w:p>
        </w:tc>
      </w:tr>
      <w:tr>
        <w:tc>
          <w:tcPr>
            <w:tcW w:type="dxa" w:w="2736"/>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Quiz A and Quiz B</w:t>
            </w:r>
          </w:p>
        </w:tc>
        <w:tc>
          <w:tcPr>
            <w:tcW w:type="dxa" w:w="7488"/>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Two versions on the same blueprint, both editable</w:t>
            </w:r>
          </w:p>
        </w:tc>
      </w:tr>
      <w:tr>
        <w:tc>
          <w:tcPr>
            <w:tcW w:type="dxa" w:w="2736"/>
            <w:tcBorders>
              <w:top w:val="single" w:sz="6" w:color="C9D6DC"/>
              <w:left w:val="single" w:sz="6" w:color="C9D6DC"/>
              <w:bottom w:val="single" w:sz="6" w:color="C9D6DC"/>
              <w:right w:val="single" w:sz="6" w:color="C9D6DC"/>
            </w:tcBorders>
          </w:tcPr>
          <w:p>
            <w:pPr>
              <w:spacing w:after="20"/>
            </w:pPr>
            <w:r>
              <w:rPr>
                <w:b w:val="0"/>
                <w:color w:val="1C262B"/>
                <w:sz w:val="20"/>
              </w:rPr>
              <w:t>Complete answer keys</w:t>
            </w:r>
          </w:p>
        </w:tc>
        <w:tc>
          <w:tcPr>
            <w:tcW w:type="dxa" w:w="7488"/>
            <w:tcBorders>
              <w:top w:val="single" w:sz="6" w:color="C9D6DC"/>
              <w:left w:val="single" w:sz="6" w:color="C9D6DC"/>
              <w:bottom w:val="single" w:sz="6" w:color="C9D6DC"/>
              <w:right w:val="single" w:sz="6" w:color="C9D6DC"/>
            </w:tcBorders>
          </w:tcPr>
          <w:p>
            <w:pPr>
              <w:spacing w:after="20"/>
            </w:pPr>
            <w:r>
              <w:rPr>
                <w:b w:val="0"/>
                <w:color w:val="1C262B"/>
                <w:sz w:val="20"/>
              </w:rPr>
              <w:t>In the download. No account, no portal, no waiting.</w:t>
            </w:r>
          </w:p>
        </w:tc>
      </w:tr>
      <w:tr>
        <w:tc>
          <w:tcPr>
            <w:tcW w:type="dxa" w:w="2736"/>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Teacher primer</w:t>
            </w:r>
          </w:p>
        </w:tc>
        <w:tc>
          <w:tcPr>
            <w:tcW w:type="dxa" w:w="7488"/>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What to know before you teach it, and the questions students ask</w:t>
            </w:r>
          </w:p>
        </w:tc>
      </w:tr>
      <w:tr>
        <w:tc>
          <w:tcPr>
            <w:tcW w:type="dxa" w:w="2736"/>
            <w:tcBorders>
              <w:top w:val="single" w:sz="6" w:color="C9D6DC"/>
              <w:left w:val="single" w:sz="6" w:color="C9D6DC"/>
              <w:bottom w:val="single" w:sz="6" w:color="C9D6DC"/>
              <w:right w:val="single" w:sz="6" w:color="C9D6DC"/>
            </w:tcBorders>
          </w:tcPr>
          <w:p>
            <w:pPr>
              <w:spacing w:after="20"/>
            </w:pPr>
            <w:r>
              <w:rPr>
                <w:b w:val="0"/>
                <w:color w:val="1C262B"/>
                <w:sz w:val="20"/>
              </w:rPr>
              <w:t>Vocabulary</w:t>
            </w:r>
          </w:p>
        </w:tc>
        <w:tc>
          <w:tcPr>
            <w:tcW w:type="dxa" w:w="7488"/>
            <w:tcBorders>
              <w:top w:val="single" w:sz="6" w:color="C9D6DC"/>
              <w:left w:val="single" w:sz="6" w:color="C9D6DC"/>
              <w:bottom w:val="single" w:sz="6" w:color="C9D6DC"/>
              <w:right w:val="single" w:sz="6" w:color="C9D6DC"/>
            </w:tcBorders>
          </w:tcPr>
          <w:p>
            <w:pPr>
              <w:spacing w:after="20"/>
            </w:pPr>
            <w:r>
              <w:rPr>
                <w:b w:val="0"/>
                <w:color w:val="1C262B"/>
                <w:sz w:val="20"/>
              </w:rPr>
              <w:t>Reference sheet and a fill-in student version</w:t>
            </w:r>
          </w:p>
        </w:tc>
      </w:tr>
      <w:tr>
        <w:tc>
          <w:tcPr>
            <w:tcW w:type="dxa" w:w="2736"/>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Standards alignment page</w:t>
            </w:r>
          </w:p>
        </w:tc>
        <w:tc>
          <w:tcPr>
            <w:tcW w:type="dxa" w:w="7488"/>
            <w:tcBorders>
              <w:top w:val="single" w:sz="6" w:color="C9D6DC"/>
              <w:left w:val="single" w:sz="6" w:color="C9D6DC"/>
              <w:bottom w:val="single" w:sz="6" w:color="C9D6DC"/>
              <w:right w:val="single" w:sz="6" w:color="C9D6DC"/>
            </w:tcBorders>
            <w:shd w:val="clear" w:fill="F4F8F9"/>
          </w:tcPr>
          <w:p>
            <w:pPr>
              <w:spacing w:after="20"/>
            </w:pPr>
            <w:r>
              <w:rPr>
                <w:b w:val="0"/>
                <w:color w:val="1C262B"/>
                <w:sz w:val="20"/>
              </w:rPr>
              <w:t>Cites §113.26 by code, for a department chair or an administrator</w:t>
            </w:r>
          </w:p>
        </w:tc>
      </w:tr>
    </w:tbl>
    <w:p>
      <w:pPr>
        <w:spacing w:after="40"/>
      </w:pPr>
    </w:p>
    <w:p>
      <w:pPr>
        <w:spacing w:before="200" w:after="60"/>
      </w:pPr>
      <w:r>
        <w:rPr>
          <w:b/>
          <w:color w:val="12796B"/>
          <w:sz w:val="23"/>
        </w:rPr>
        <w:t>Four things this course does that most do not</w:t>
      </w:r>
    </w:p>
    <w:p>
      <w:pPr>
        <w:pStyle w:val="ListBullet"/>
        <w:spacing w:after="60"/>
      </w:pPr>
      <w:r>
        <w:rPr>
          <w:rFonts w:ascii="Calibri" w:hAnsi="Calibri"/>
          <w:color w:val="1C262B"/>
          <w:sz w:val="21"/>
        </w:rPr>
        <w:t>Everything ships as an editable .docx and .pptx, not a locked PDF or a view-only link.</w:t>
      </w:r>
    </w:p>
    <w:p>
      <w:pPr>
        <w:pStyle w:val="ListBullet"/>
        <w:spacing w:after="60"/>
      </w:pPr>
      <w:r>
        <w:rPr>
          <w:rFonts w:ascii="Calibri" w:hAnsi="Calibri"/>
          <w:color w:val="1C262B"/>
          <w:sz w:val="21"/>
        </w:rPr>
        <w:t>Every lesson prints. Nothing requires a device, a login, or an internet connection.</w:t>
      </w:r>
    </w:p>
    <w:p>
      <w:pPr>
        <w:pStyle w:val="ListBullet"/>
        <w:spacing w:after="60"/>
      </w:pPr>
      <w:r>
        <w:rPr>
          <w:rFonts w:ascii="Calibri" w:hAnsi="Calibri"/>
          <w:color w:val="1C262B"/>
          <w:sz w:val="21"/>
        </w:rPr>
        <w:t>Answer keys are in the file. There is no account to verify and no wait.</w:t>
      </w:r>
    </w:p>
    <w:p>
      <w:pPr>
        <w:pStyle w:val="ListBullet"/>
        <w:spacing w:after="60"/>
      </w:pPr>
      <w:r>
        <w:rPr>
          <w:rFonts w:ascii="Calibri" w:hAnsi="Calibri"/>
          <w:color w:val="1C262B"/>
          <w:sz w:val="21"/>
        </w:rPr>
        <w:t>Every unit has a no-prep, no-tech emergency sub day — which, as far as we can find, no other personal finance curriculum provides.</w:t>
      </w:r>
    </w:p>
    <w:p>
      <w:pPr>
        <w:spacing w:before="200" w:after="60"/>
      </w:pPr>
      <w:r>
        <w:rPr>
          <w:b/>
          <w:color w:val="12796B"/>
          <w:sz w:val="23"/>
        </w:rPr>
        <w:t>Figures and currency</w:t>
      </w:r>
    </w:p>
    <w:p>
      <w:pPr>
        <w:spacing w:after="120"/>
      </w:pPr>
      <w:r>
        <w:rPr>
          <w:b w:val="0"/>
          <w:i w:val="0"/>
          <w:color w:val="1C262B"/>
          <w:sz w:val="21"/>
        </w:rPr>
        <w:t>Every tax figure, rate and limit is dated to tax year 2026 and verified against the IRS, the Department of Education, HHS and the Texas Comptroller. The course is refreshed each January when the new figures publish.</w:t>
      </w:r>
    </w:p>
    <w:p/>
    <w:tbl>
      <w:tblPr>
        <w:tblW w:type="auto" w:w="0"/>
        <w:jc w:val="left"/>
        <w:tblLook w:firstColumn="1" w:firstRow="1" w:lastColumn="0" w:lastRow="0" w:noHBand="0" w:noVBand="1" w:val="04A0"/>
      </w:tblPr>
      <w:tblGrid>
        <w:gridCol w:w="10224"/>
      </w:tblGrid>
      <w:tr>
        <w:tc>
          <w:tcPr>
            <w:tcW w:type="dxa" w:w="10224"/>
            <w:shd w:val="clear" w:fill="EAF2F4"/>
            <w:tcBorders>
              <w:top w:val="single" w:sz="6" w:color="C9D6DC"/>
              <w:left w:val="single" w:sz="6" w:color="C9D6DC"/>
              <w:bottom w:val="single" w:sz="6" w:color="C9D6DC"/>
              <w:right w:val="single" w:sz="6" w:color="C9D6DC"/>
            </w:tcBorders>
          </w:tcPr>
          <w:p>
            <w:pPr>
              <w:spacing w:after="60"/>
            </w:pPr>
            <w:r/>
            <w:r>
              <w:rPr>
                <w:b/>
                <w:color w:val="0F3D5C"/>
                <w:sz w:val="21"/>
              </w:rPr>
              <w:t>Effortless Math · Applied Personal Finance</w:t>
            </w:r>
          </w:p>
          <w:p>
            <w:pPr>
              <w:spacing w:after="40"/>
            </w:pPr>
            <w:r>
              <w:rPr>
                <w:color w:val="1C262B"/>
                <w:sz w:val="21"/>
              </w:rPr>
              <w:t>Built by a teacher, tested in a classroom, and written so that someone who has never taught personal finance can walk in and teach it well.</w:t>
            </w:r>
          </w:p>
          <w:p>
            <w:pPr>
              <w:spacing w:after="40"/>
            </w:pPr>
            <w:r>
              <w:rPr>
                <w:color w:val="1C262B"/>
                <w:sz w:val="21"/>
              </w:rPr>
              <w:t>Questions, corrections and requests are genuinely welcome.</w:t>
            </w:r>
          </w:p>
        </w:tc>
      </w:tr>
    </w:tbl>
    <w:p>
      <w:pPr>
        <w:spacing w:after="40"/>
      </w:pPr>
    </w:p>
    <w:sectPr w:rsidR="00FC693F" w:rsidRPr="0006063C" w:rsidSect="00034616">
      <w:footerReference w:type="default" r:id="rId9"/>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5C6B73"/>
        <w:sz w:val="16"/>
      </w:rPr>
      <w:t>Effortless Math · Applied Personal Finance · Scope and Sequence · free resource · figures verified for tax year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color w:val="1C262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